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media/image1.png" ContentType="image/png"/>
  <Override PartName="/word/media/image2.png" ContentType="image/png"/>
  <Override PartName="/word/footer2.xml" ContentType="application/vnd.openxmlformats-officedocument.wordprocessingml.foot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_rels/document.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276"/>
        <w:ind w:left="0" w:right="-15" w:hanging="0"/>
        <w:jc w:val="center"/>
        <w:rPr>
          <w:rFonts w:cs="Arial"/>
          <w:b/>
          <w:b/>
          <w:bCs/>
          <w:color w:val="000000"/>
          <w:szCs w:val="20"/>
        </w:rPr>
      </w:pPr>
      <w:r>
        <w:rPr>
          <w:rFonts w:cs="Arial"/>
          <w:b/>
          <w:bCs/>
          <w:color w:val="000000"/>
          <w:szCs w:val="20"/>
        </w:rPr>
        <w:drawing>
          <wp:anchor behindDoc="0" distT="0" distB="0" distL="114300" distR="114300" simplePos="0" locked="0" layoutInCell="0" allowOverlap="1" relativeHeight="2">
            <wp:simplePos x="0" y="0"/>
            <wp:positionH relativeFrom="column">
              <wp:posOffset>2811145</wp:posOffset>
            </wp:positionH>
            <wp:positionV relativeFrom="paragraph">
              <wp:posOffset>-479425</wp:posOffset>
            </wp:positionV>
            <wp:extent cx="619125" cy="676275"/>
            <wp:effectExtent l="0" t="0" r="0" b="0"/>
            <wp:wrapSquare wrapText="largest"/>
            <wp:docPr id="1" name="Imagem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descr=""/>
                    <pic:cNvPicPr>
                      <a:picLocks noChangeAspect="1" noChangeArrowheads="1"/>
                    </pic:cNvPicPr>
                  </pic:nvPicPr>
                  <pic:blipFill>
                    <a:blip r:embed="rId2"/>
                    <a:stretch>
                      <a:fillRect/>
                    </a:stretch>
                  </pic:blipFill>
                  <pic:spPr bwMode="auto">
                    <a:xfrm>
                      <a:off x="0" y="0"/>
                      <a:ext cx="619125" cy="676275"/>
                    </a:xfrm>
                    <a:prstGeom prst="rect">
                      <a:avLst/>
                    </a:prstGeom>
                  </pic:spPr>
                </pic:pic>
              </a:graphicData>
            </a:graphic>
          </wp:anchor>
        </w:drawing>
      </w:r>
    </w:p>
    <w:p>
      <w:pPr>
        <w:pStyle w:val="Normal"/>
        <w:spacing w:lineRule="auto" w:line="276"/>
        <w:ind w:left="0" w:right="-15" w:hanging="0"/>
        <w:jc w:val="center"/>
        <w:rPr>
          <w:rFonts w:cs="Arial"/>
          <w:b/>
          <w:b/>
          <w:bCs/>
          <w:color w:val="000000"/>
          <w:szCs w:val="20"/>
        </w:rPr>
      </w:pPr>
      <w:r>
        <w:rPr>
          <w:rFonts w:cs="Arial"/>
          <w:b/>
          <w:bCs/>
          <w:color w:val="000000"/>
          <w:szCs w:val="20"/>
        </w:rPr>
      </w:r>
    </w:p>
    <w:p>
      <w:pPr>
        <w:pStyle w:val="Normal"/>
        <w:spacing w:lineRule="auto" w:line="276"/>
        <w:ind w:left="0" w:right="-15" w:hanging="0"/>
        <w:jc w:val="center"/>
        <w:rPr>
          <w:rFonts w:cs="Arial"/>
          <w:b/>
          <w:b/>
          <w:bCs/>
          <w:color w:val="000000"/>
          <w:szCs w:val="20"/>
        </w:rPr>
      </w:pPr>
      <w:r>
        <w:rPr>
          <w:rFonts w:cs="Arial"/>
          <w:b/>
          <w:bCs/>
          <w:color w:val="000000"/>
          <w:szCs w:val="20"/>
        </w:rPr>
        <w:t>MINISTÉRIO DA DEFESA</w:t>
      </w:r>
    </w:p>
    <w:p>
      <w:pPr>
        <w:pStyle w:val="Normal"/>
        <w:spacing w:lineRule="auto" w:line="276"/>
        <w:ind w:left="0" w:right="-15" w:hanging="0"/>
        <w:jc w:val="center"/>
        <w:rPr>
          <w:rFonts w:cs="Arial"/>
          <w:b/>
          <w:b/>
          <w:bCs/>
          <w:color w:val="000000"/>
          <w:szCs w:val="20"/>
        </w:rPr>
      </w:pPr>
      <w:r>
        <w:rPr>
          <w:rFonts w:cs="Arial"/>
          <w:b/>
          <w:bCs/>
          <w:color w:val="000000"/>
          <w:szCs w:val="20"/>
        </w:rPr>
        <w:t>EXÉRCITO   BRASILEIRO</w:t>
      </w:r>
    </w:p>
    <w:p>
      <w:pPr>
        <w:pStyle w:val="Normal"/>
        <w:spacing w:lineRule="auto" w:line="276"/>
        <w:ind w:left="0" w:right="-15" w:hanging="0"/>
        <w:jc w:val="center"/>
        <w:rPr>
          <w:rFonts w:cs="Arial"/>
          <w:b/>
          <w:b/>
          <w:bCs/>
          <w:color w:val="000000"/>
          <w:szCs w:val="20"/>
        </w:rPr>
      </w:pPr>
      <w:r>
        <w:rPr>
          <w:rFonts w:cs="Arial"/>
          <w:b/>
          <w:bCs/>
          <w:color w:val="000000"/>
          <w:szCs w:val="20"/>
        </w:rPr>
        <w:t>DCT - CCOMGEX</w:t>
      </w:r>
    </w:p>
    <w:p>
      <w:pPr>
        <w:pStyle w:val="Normal"/>
        <w:spacing w:lineRule="auto" w:line="276"/>
        <w:ind w:left="0" w:right="-15" w:hanging="0"/>
        <w:jc w:val="center"/>
        <w:rPr>
          <w:rFonts w:cs="Arial"/>
          <w:b/>
          <w:b/>
          <w:bCs/>
          <w:color w:val="000000"/>
          <w:szCs w:val="20"/>
        </w:rPr>
      </w:pPr>
      <w:r>
        <w:rPr>
          <w:rFonts w:cs="Arial"/>
          <w:b/>
          <w:bCs/>
          <w:color w:val="000000"/>
          <w:szCs w:val="20"/>
        </w:rPr>
        <w:t>BASE ADMINISTRATIVA DO COMANDO DE COMUNICAÇÕES E GUERRA ELETRÔNICA DO EXÉRCITO</w:t>
      </w:r>
    </w:p>
    <w:p>
      <w:pPr>
        <w:pStyle w:val="Normal"/>
        <w:spacing w:lineRule="auto" w:line="276"/>
        <w:ind w:left="0" w:right="-15" w:hanging="0"/>
        <w:jc w:val="center"/>
        <w:rPr>
          <w:rFonts w:cs="Arial"/>
          <w:b/>
          <w:b/>
          <w:bCs/>
          <w:color w:val="000000"/>
          <w:szCs w:val="20"/>
        </w:rPr>
      </w:pPr>
      <w:r>
        <w:rPr>
          <w:rFonts w:cs="Arial"/>
          <w:b/>
          <w:bCs/>
          <w:color w:val="000000"/>
          <w:szCs w:val="20"/>
        </w:rPr>
        <w:t>(COMANDO FORTE MARECHAL RONDON)</w:t>
      </w:r>
    </w:p>
    <w:p>
      <w:pPr>
        <w:pStyle w:val="Normal"/>
        <w:spacing w:lineRule="auto" w:line="276"/>
        <w:ind w:left="0" w:right="-15" w:hanging="0"/>
        <w:jc w:val="center"/>
        <w:rPr>
          <w:rFonts w:cs="Arial"/>
          <w:b/>
          <w:b/>
          <w:bCs/>
          <w:color w:val="000000"/>
          <w:szCs w:val="20"/>
        </w:rPr>
      </w:pPr>
      <w:r>
        <w:rPr>
          <w:rFonts w:cs="Arial"/>
          <w:b/>
          <w:bCs/>
          <w:color w:val="000000"/>
          <w:szCs w:val="20"/>
        </w:rPr>
        <w:t>SETOR DE APROVISIONAMENTO</w:t>
      </w:r>
    </w:p>
    <w:p>
      <w:pPr>
        <w:pStyle w:val="Normal"/>
        <w:rPr>
          <w:rFonts w:cs="Arial"/>
          <w:szCs w:val="20"/>
          <w:lang w:eastAsia="en-US"/>
        </w:rPr>
      </w:pPr>
      <w:r>
        <w:rPr>
          <w:rFonts w:cs="Arial"/>
          <w:szCs w:val="20"/>
          <w:lang w:eastAsia="en-US"/>
        </w:rPr>
      </w:r>
    </w:p>
    <w:p>
      <w:pPr>
        <w:pStyle w:val="Normal"/>
        <w:spacing w:lineRule="auto" w:line="276" w:before="0" w:after="120"/>
        <w:ind w:left="0" w:right="-15" w:hanging="0"/>
        <w:jc w:val="center"/>
        <w:rPr>
          <w:rFonts w:cs="Arial"/>
          <w:b/>
          <w:b/>
          <w:bCs/>
          <w:color w:val="000000"/>
          <w:szCs w:val="20"/>
        </w:rPr>
      </w:pPr>
      <w:r>
        <w:rPr>
          <w:rFonts w:cs="Arial"/>
          <w:b/>
          <w:bCs/>
          <w:color w:val="000000"/>
          <w:szCs w:val="20"/>
        </w:rPr>
        <w:t xml:space="preserve">ANEXO I –  TERMO DE REFERÊNCIA – APÓS IRP </w:t>
      </w:r>
    </w:p>
    <w:p>
      <w:pPr>
        <w:pStyle w:val="Normal"/>
        <w:spacing w:lineRule="auto" w:line="276" w:before="0" w:after="120"/>
        <w:ind w:left="0" w:right="-15" w:hanging="0"/>
        <w:jc w:val="center"/>
        <w:rPr>
          <w:rFonts w:cs="Arial"/>
          <w:b/>
          <w:b/>
          <w:bCs/>
          <w:iCs/>
          <w:color w:val="000000"/>
          <w:szCs w:val="20"/>
        </w:rPr>
      </w:pPr>
      <w:r>
        <w:rPr>
          <w:rFonts w:cs="Arial"/>
          <w:b/>
          <w:bCs/>
          <w:iCs/>
          <w:color w:val="000000"/>
          <w:szCs w:val="20"/>
        </w:rPr>
        <w:t xml:space="preserve"> </w:t>
      </w:r>
      <w:r>
        <w:rPr>
          <w:rFonts w:cs="Arial"/>
          <w:b/>
          <w:bCs/>
          <w:iCs/>
          <w:color w:val="000000"/>
          <w:szCs w:val="20"/>
        </w:rPr>
        <w:t>CONTRATAÇÃO DE SERVIÇO DE FORNECIMENTO DE ALIMENTAÇÃO</w:t>
      </w:r>
    </w:p>
    <w:p>
      <w:pPr>
        <w:pStyle w:val="Normal"/>
        <w:spacing w:lineRule="auto" w:line="276" w:before="0" w:after="120"/>
        <w:ind w:left="0" w:right="-15" w:hanging="0"/>
        <w:jc w:val="center"/>
        <w:rPr>
          <w:rFonts w:cs="Arial"/>
          <w:b/>
          <w:b/>
          <w:bCs/>
          <w:color w:val="000000"/>
          <w:szCs w:val="20"/>
          <w:u w:val="single"/>
        </w:rPr>
      </w:pPr>
      <w:r>
        <w:rPr>
          <w:rFonts w:cs="Arial"/>
          <w:b/>
          <w:bCs/>
          <w:color w:val="000000"/>
          <w:szCs w:val="20"/>
          <w:u w:val="single"/>
        </w:rPr>
        <w:t>(Processo Administrativo n.° 65255.002428/2023-45)</w:t>
      </w:r>
    </w:p>
    <w:p>
      <w:pPr>
        <w:pStyle w:val="Normal"/>
        <w:jc w:val="center"/>
        <w:rPr>
          <w:rFonts w:cs="Arial"/>
          <w:bCs/>
          <w:color w:val="000000"/>
          <w:szCs w:val="20"/>
        </w:rPr>
      </w:pPr>
      <w:r>
        <w:rPr>
          <w:rFonts w:cs="Arial"/>
          <w:bCs/>
          <w:color w:val="000000"/>
          <w:szCs w:val="20"/>
        </w:rPr>
        <w:t>BASE ADMINISTRATIVA DO CMDO COM GE EX</w:t>
      </w:r>
    </w:p>
    <w:p>
      <w:pPr>
        <w:pStyle w:val="Normal"/>
        <w:spacing w:before="0" w:after="120"/>
        <w:jc w:val="center"/>
        <w:rPr>
          <w:rFonts w:cs="Arial"/>
          <w:bCs/>
          <w:color w:val="000000"/>
          <w:szCs w:val="20"/>
        </w:rPr>
      </w:pPr>
      <w:r>
        <w:rPr>
          <w:rFonts w:cs="Arial"/>
          <w:bCs/>
          <w:color w:val="000000"/>
          <w:szCs w:val="20"/>
        </w:rPr>
      </w:r>
    </w:p>
    <w:p>
      <w:pPr>
        <w:pStyle w:val="Normal"/>
        <w:spacing w:before="0" w:after="120"/>
        <w:jc w:val="center"/>
        <w:rPr>
          <w:rFonts w:cs="Arial"/>
          <w:b/>
          <w:b/>
          <w:bCs/>
          <w:color w:val="000000"/>
          <w:sz w:val="32"/>
          <w:szCs w:val="32"/>
        </w:rPr>
      </w:pPr>
      <w:r>
        <w:rPr>
          <w:rFonts w:cs="Arial"/>
          <w:b/>
          <w:bCs/>
          <w:color w:val="000000"/>
          <w:sz w:val="32"/>
          <w:szCs w:val="32"/>
        </w:rPr>
        <w:t>PREGÃO Nº12/2023</w:t>
      </w:r>
    </w:p>
    <w:p>
      <w:pPr>
        <w:pStyle w:val="Nivel1"/>
        <w:numPr>
          <w:ilvl w:val="0"/>
          <w:numId w:val="2"/>
        </w:numPr>
        <w:spacing w:before="480" w:after="240"/>
        <w:rPr>
          <w:rFonts w:cs="Arial"/>
        </w:rPr>
      </w:pPr>
      <w:r>
        <w:rPr>
          <w:rFonts w:cs="Arial"/>
        </w:rPr>
        <w:t>DO OBJETO</w:t>
      </w:r>
    </w:p>
    <w:p>
      <w:pPr>
        <w:pStyle w:val="Normal"/>
        <w:numPr>
          <w:ilvl w:val="1"/>
          <w:numId w:val="2"/>
        </w:numPr>
        <w:spacing w:lineRule="auto" w:line="276" w:before="120" w:after="120"/>
        <w:ind w:left="425" w:right="0" w:hanging="0"/>
        <w:jc w:val="both"/>
        <w:rPr>
          <w:rFonts w:cs="Arial"/>
          <w:szCs w:val="20"/>
        </w:rPr>
      </w:pPr>
      <w:r>
        <w:rPr>
          <w:rFonts w:cs="Arial"/>
          <w:szCs w:val="20"/>
        </w:rPr>
        <w:t>Contratação de eventual serviços de fornecimento de alimentação, conforme condições, quantidades, exigências e estimativas estabelecidas neste instrumento, sendo os serviços referidos a serem realizados no âmbito do Forte Marechal Rondon:</w:t>
      </w:r>
    </w:p>
    <w:tbl>
      <w:tblPr>
        <w:tblW w:w="10324" w:type="dxa"/>
        <w:jc w:val="center"/>
        <w:tblInd w:w="0" w:type="dxa"/>
        <w:tblLayout w:type="fixed"/>
        <w:tblCellMar>
          <w:top w:w="0" w:type="dxa"/>
          <w:left w:w="70" w:type="dxa"/>
          <w:bottom w:w="0" w:type="dxa"/>
          <w:right w:w="70" w:type="dxa"/>
        </w:tblCellMar>
      </w:tblPr>
      <w:tblGrid>
        <w:gridCol w:w="613"/>
        <w:gridCol w:w="3636"/>
        <w:gridCol w:w="1411"/>
        <w:gridCol w:w="846"/>
        <w:gridCol w:w="847"/>
        <w:gridCol w:w="1420"/>
        <w:gridCol w:w="1551"/>
      </w:tblGrid>
      <w:tr>
        <w:trPr>
          <w:tblHeader w:val="true"/>
          <w:trHeight w:val="510" w:hRule="atLeast"/>
        </w:trPr>
        <w:tc>
          <w:tcPr>
            <w:tcW w:w="613"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rFonts w:cs="Arial"/>
                <w:b/>
                <w:b/>
                <w:bCs/>
                <w:color w:val="000000"/>
                <w:szCs w:val="20"/>
              </w:rPr>
            </w:pPr>
            <w:r>
              <w:rPr>
                <w:rFonts w:cs="Arial"/>
                <w:b/>
                <w:bCs/>
                <w:color w:val="000000"/>
                <w:szCs w:val="20"/>
              </w:rPr>
              <w:t>Itens</w:t>
            </w:r>
          </w:p>
        </w:tc>
        <w:tc>
          <w:tcPr>
            <w:tcW w:w="3636" w:type="dxa"/>
            <w:tcBorders>
              <w:top w:val="single" w:sz="4" w:space="0" w:color="000000"/>
              <w:bottom w:val="single" w:sz="4" w:space="0" w:color="000000"/>
              <w:right w:val="single" w:sz="4" w:space="0" w:color="000000"/>
            </w:tcBorders>
            <w:vAlign w:val="center"/>
          </w:tcPr>
          <w:p>
            <w:pPr>
              <w:pStyle w:val="Normal"/>
              <w:widowControl w:val="false"/>
              <w:jc w:val="center"/>
              <w:rPr>
                <w:rFonts w:cs="Arial"/>
                <w:b/>
                <w:b/>
                <w:bCs/>
                <w:color w:val="000000"/>
                <w:szCs w:val="20"/>
              </w:rPr>
            </w:pPr>
            <w:r>
              <w:rPr>
                <w:rFonts w:cs="Arial"/>
                <w:b/>
                <w:bCs/>
                <w:color w:val="000000"/>
                <w:szCs w:val="20"/>
              </w:rPr>
              <w:t>Descrição</w:t>
            </w:r>
          </w:p>
        </w:tc>
        <w:tc>
          <w:tcPr>
            <w:tcW w:w="1411" w:type="dxa"/>
            <w:tcBorders>
              <w:top w:val="single" w:sz="4" w:space="0" w:color="000000"/>
              <w:bottom w:val="single" w:sz="4" w:space="0" w:color="000000"/>
              <w:right w:val="single" w:sz="4" w:space="0" w:color="000000"/>
            </w:tcBorders>
            <w:vAlign w:val="center"/>
          </w:tcPr>
          <w:p>
            <w:pPr>
              <w:pStyle w:val="Normal"/>
              <w:widowControl w:val="false"/>
              <w:jc w:val="center"/>
              <w:rPr>
                <w:rFonts w:cs="Arial"/>
                <w:b/>
                <w:b/>
                <w:bCs/>
                <w:color w:val="000000"/>
                <w:szCs w:val="20"/>
              </w:rPr>
            </w:pPr>
            <w:r>
              <w:rPr>
                <w:rFonts w:cs="Arial"/>
                <w:b/>
                <w:bCs/>
                <w:color w:val="000000"/>
                <w:szCs w:val="20"/>
              </w:rPr>
              <w:t>CATSER</w:t>
            </w:r>
          </w:p>
        </w:tc>
        <w:tc>
          <w:tcPr>
            <w:tcW w:w="846" w:type="dxa"/>
            <w:tcBorders>
              <w:top w:val="single" w:sz="4" w:space="0" w:color="000000"/>
              <w:bottom w:val="single" w:sz="4" w:space="0" w:color="000000"/>
              <w:right w:val="single" w:sz="4" w:space="0" w:color="000000"/>
            </w:tcBorders>
            <w:vAlign w:val="center"/>
          </w:tcPr>
          <w:p>
            <w:pPr>
              <w:pStyle w:val="Normal"/>
              <w:widowControl w:val="false"/>
              <w:jc w:val="center"/>
              <w:rPr>
                <w:rFonts w:cs="Arial"/>
                <w:b/>
                <w:b/>
                <w:bCs/>
                <w:color w:val="000000"/>
                <w:szCs w:val="20"/>
              </w:rPr>
            </w:pPr>
            <w:r>
              <w:rPr>
                <w:rFonts w:cs="Arial"/>
                <w:b/>
                <w:bCs/>
                <w:color w:val="000000"/>
                <w:szCs w:val="20"/>
              </w:rPr>
              <w:t>Und</w:t>
            </w:r>
          </w:p>
        </w:tc>
        <w:tc>
          <w:tcPr>
            <w:tcW w:w="847" w:type="dxa"/>
            <w:tcBorders>
              <w:top w:val="single" w:sz="4" w:space="0" w:color="000000"/>
              <w:bottom w:val="single" w:sz="4" w:space="0" w:color="000000"/>
              <w:right w:val="single" w:sz="4" w:space="0" w:color="000000"/>
            </w:tcBorders>
            <w:vAlign w:val="center"/>
          </w:tcPr>
          <w:p>
            <w:pPr>
              <w:pStyle w:val="Normal"/>
              <w:widowControl w:val="false"/>
              <w:jc w:val="center"/>
              <w:rPr>
                <w:rFonts w:cs="Arial"/>
                <w:b/>
                <w:b/>
                <w:bCs/>
                <w:color w:val="000000"/>
                <w:szCs w:val="20"/>
              </w:rPr>
            </w:pPr>
            <w:r>
              <w:rPr>
                <w:rFonts w:cs="Arial"/>
                <w:b/>
                <w:bCs/>
                <w:color w:val="000000"/>
                <w:szCs w:val="20"/>
              </w:rPr>
              <w:t>Qtde</w:t>
            </w:r>
          </w:p>
        </w:tc>
        <w:tc>
          <w:tcPr>
            <w:tcW w:w="1420" w:type="dxa"/>
            <w:tcBorders>
              <w:top w:val="single" w:sz="4" w:space="0" w:color="000000"/>
              <w:bottom w:val="single" w:sz="4" w:space="0" w:color="000000"/>
              <w:right w:val="single" w:sz="4" w:space="0" w:color="000000"/>
            </w:tcBorders>
            <w:vAlign w:val="center"/>
          </w:tcPr>
          <w:p>
            <w:pPr>
              <w:pStyle w:val="Normal"/>
              <w:widowControl w:val="false"/>
              <w:jc w:val="center"/>
              <w:rPr>
                <w:rFonts w:cs="Arial"/>
                <w:b/>
                <w:b/>
                <w:bCs/>
                <w:color w:val="000000"/>
                <w:szCs w:val="20"/>
              </w:rPr>
            </w:pPr>
            <w:r>
              <w:rPr>
                <w:rFonts w:cs="Arial"/>
                <w:b/>
                <w:bCs/>
                <w:color w:val="000000"/>
                <w:szCs w:val="20"/>
              </w:rPr>
              <w:t>Valor Unitário R$</w:t>
            </w:r>
          </w:p>
        </w:tc>
        <w:tc>
          <w:tcPr>
            <w:tcW w:w="1551" w:type="dxa"/>
            <w:tcBorders>
              <w:top w:val="single" w:sz="4" w:space="0" w:color="000000"/>
              <w:bottom w:val="single" w:sz="4" w:space="0" w:color="000000"/>
              <w:right w:val="single" w:sz="4" w:space="0" w:color="000000"/>
            </w:tcBorders>
            <w:vAlign w:val="center"/>
          </w:tcPr>
          <w:p>
            <w:pPr>
              <w:pStyle w:val="Normal"/>
              <w:widowControl w:val="false"/>
              <w:jc w:val="center"/>
              <w:rPr>
                <w:rFonts w:cs="Arial"/>
                <w:b/>
                <w:b/>
                <w:bCs/>
                <w:color w:val="000000"/>
                <w:szCs w:val="20"/>
              </w:rPr>
            </w:pPr>
            <w:r>
              <w:rPr>
                <w:rFonts w:cs="Arial"/>
                <w:b/>
                <w:bCs/>
                <w:color w:val="000000"/>
                <w:szCs w:val="20"/>
              </w:rPr>
              <w:t>Valor total R$</w:t>
            </w:r>
          </w:p>
        </w:tc>
      </w:tr>
      <w:tr>
        <w:trPr>
          <w:trHeight w:val="5134" w:hRule="atLeast"/>
        </w:trPr>
        <w:tc>
          <w:tcPr>
            <w:tcW w:w="613" w:type="dxa"/>
            <w:tcBorders>
              <w:left w:val="single" w:sz="4" w:space="0" w:color="000000"/>
              <w:bottom w:val="single" w:sz="4" w:space="0" w:color="000000"/>
              <w:right w:val="single" w:sz="4" w:space="0" w:color="000000"/>
            </w:tcBorders>
            <w:vAlign w:val="center"/>
          </w:tcPr>
          <w:p>
            <w:pPr>
              <w:pStyle w:val="Normal"/>
              <w:widowControl w:val="false"/>
              <w:jc w:val="center"/>
              <w:rPr>
                <w:rFonts w:cs="Arial"/>
                <w:color w:val="000000"/>
                <w:szCs w:val="20"/>
              </w:rPr>
            </w:pPr>
            <w:r>
              <w:rPr>
                <w:rFonts w:cs="Arial"/>
                <w:color w:val="000000"/>
                <w:szCs w:val="20"/>
              </w:rPr>
              <w:t>1</w:t>
            </w:r>
          </w:p>
        </w:tc>
        <w:tc>
          <w:tcPr>
            <w:tcW w:w="3636" w:type="dxa"/>
            <w:tcBorders>
              <w:bottom w:val="single" w:sz="4" w:space="0" w:color="000000"/>
              <w:right w:val="single" w:sz="4" w:space="0" w:color="000000"/>
            </w:tcBorders>
            <w:vAlign w:val="center"/>
          </w:tcPr>
          <w:p>
            <w:pPr>
              <w:pStyle w:val="Normal"/>
              <w:widowControl w:val="false"/>
              <w:rPr>
                <w:rFonts w:cs="Arial"/>
                <w:color w:val="000000"/>
              </w:rPr>
            </w:pPr>
            <w:r>
              <w:rPr>
                <w:rFonts w:cs="Arial"/>
                <w:b/>
                <w:bCs/>
                <w:color w:val="000000"/>
                <w:sz w:val="28"/>
                <w:szCs w:val="28"/>
              </w:rPr>
              <w:t>Almoço/Jantar à americana, precedido de coquetel volante, com mesa de café na saída.</w:t>
            </w:r>
            <w:r>
              <w:rPr>
                <w:rFonts w:cs="Arial"/>
                <w:color w:val="000000"/>
                <w:sz w:val="16"/>
                <w:szCs w:val="16"/>
              </w:rPr>
              <w:br/>
              <w:br/>
              <w:t>A contratada deverá apresentar um cardápio contendo no mínimo: 2 (duas) opções de proteínas; 2 (duas) guarnições sendo 1 (uma) composta por massa; 2 (dois) acompanhamentos; 2 (duas) opções de saladas; e 2 (duas) opções de sobremesa sendo 1 (uma) a base de frutas; bebidas; itens do coquetel volante: coquetel volante (mínimo 03(três) tipos de canapés, 03(três) tipos de salgados fritos, 03(três) tipos de salgados assados, 03(três) tipos de folhados, 03(três) tipos de tartelettes, 01 (um) tipo de isca de peixe ao molho tártaro, 01 (um) tipo de isca de carne, e itens da mesa de café na saída), podendo a administração substituir em até 40% (quarenta por cento) os itens do cardápio apresentado pela contratada por evento, além de existir a previsão de prato vegetariano para casos de restrições alimentares. Caso seja efetivado a substituição em até 40% dos itens a administração deverá propor obrigatoriamente os itens do cardápio sugerido neste termo. Poderá ser solicitado uma degustação para no máximo 15 (quinze) pessoas do cardápio aprovado, devendo ser acrescentado esse quantitativo no quantitativo do evento.</w:t>
              <w:br/>
              <w:t>a) Bebidas:</w:t>
              <w:br/>
              <w:t>a.1) Refrigerantes a base de Cola, Guaraná e Diet;</w:t>
              <w:br/>
              <w:t>a.2) Água mineral, com e sem gás;</w:t>
              <w:br/>
              <w:t>a.3) Coquetel de frutas sem álcool;</w:t>
              <w:br/>
              <w:t>a.4) Suco natural de frutas – no mínimo dois sabores; e</w:t>
              <w:br/>
              <w:t>b) Coquetel volante:</w:t>
              <w:br/>
              <w:t>b.1) 03(três) tipos de canapés;</w:t>
              <w:br/>
              <w:t>b.2) 03(três) tipos de salgados fritos;</w:t>
              <w:br/>
              <w:t>b.3) 03(três) tipos de salgados assados;</w:t>
              <w:br/>
              <w:t>b.4) 03(três) tipos de folhados;</w:t>
              <w:br/>
              <w:t>b.5) 03(três) tipos de tartelettes;</w:t>
              <w:br/>
              <w:t>b.6) 01 (um) tipo de isca de peixe ao molho tártaro;</w:t>
              <w:br/>
              <w:t>b.7) 01 (um) tipo de isca de carne;</w:t>
              <w:br/>
              <w:t>c) Almoço / Jantar à americana (montagem de linha de servir com rechaud) sugestão de cardápio:</w:t>
              <w:br/>
              <w:t>c.1) Pratos principais:</w:t>
              <w:br/>
              <w:t>c.1.1) Carne vermelha;</w:t>
              <w:br/>
              <w:t>c.1.1.1) Medalhão de filé com bacon ao molho madeira;</w:t>
              <w:br/>
              <w:t>c.1.1.2) Tornedor ao molho de funghi e shitake;</w:t>
              <w:br/>
              <w:t>c.1.1.3) Boeuf Bourguignon;</w:t>
              <w:br/>
              <w:t>c.1.1.4) Pernil de cordeiro assado ao molho de ervas finas;</w:t>
              <w:br/>
              <w:t>c.1.2) Carne branca;</w:t>
              <w:br/>
              <w:t>c.1.2.1) Filé de salmão ao forno no molho de maracujá;</w:t>
              <w:br/>
              <w:t>c.1. 2.1) Supremo de frango com frutas secas;</w:t>
              <w:br/>
              <w:t>c.1. 2.1)  Atum selado em crosta de gergelim ao molho teriaki;</w:t>
              <w:br/>
              <w:t>c.1. 2.1)  Robalo ao molho de limão siciliano;</w:t>
              <w:br/>
              <w:t>c.2) Guarnições:</w:t>
              <w:br/>
              <w:t>c.2.1) legumes a noisette;</w:t>
              <w:br/>
              <w:t>c.2.2) soufflés de legumes;</w:t>
              <w:br/>
              <w:t>c.2.3) couve-flor gratinada ao molho;</w:t>
              <w:br/>
              <w:t>c.2.4) arroz à piamontese;</w:t>
              <w:br/>
              <w:t>c.2.5) risotos diversos;</w:t>
              <w:br/>
              <w:t>c.2.6) penne ao molho sugo;</w:t>
              <w:br/>
              <w:t>c.2.7) arroz branco;</w:t>
              <w:br/>
              <w:t>c.2.8) arroz com brócolis;</w:t>
              <w:br/>
              <w:t>c.2.9) purê ao forno; e</w:t>
              <w:br/>
              <w:t>c. 2.10) batata gratinada;</w:t>
              <w:br/>
              <w:t>c.3) Saladas:</w:t>
              <w:br/>
              <w:t>c.3.1) Salada Caprese;</w:t>
              <w:br/>
              <w:t>c.3.2) Salada Waldorf;</w:t>
              <w:br/>
              <w:t>c.3.3) Salada Caesar;</w:t>
              <w:br/>
              <w:t>c.3.4) Salpicão de frango;</w:t>
              <w:br/>
              <w:t>c.3.5) Salada Thai; e</w:t>
              <w:br/>
              <w:t>c.3.6) Molhos – tártaro, rosé, mostarda com mel, vinagrete.</w:t>
              <w:br/>
              <w:t>c.4) Sobremesas:</w:t>
              <w:br/>
              <w:t>c.4.1) Petit gateau;</w:t>
              <w:br/>
              <w:t>c.4.2) Mouse de maracujá ou chocolate,</w:t>
              <w:br/>
              <w:t>c.4.3) Sorvete diversos sabores;</w:t>
              <w:br/>
              <w:t>c.4.4) Salada de frutas,</w:t>
              <w:br/>
              <w:t>c.4.5) Frutas laminadas com chantilly e castanhas;</w:t>
              <w:br/>
              <w:t>c.4.6) Mamão com creme de cassis;</w:t>
              <w:br/>
              <w:t>c.4.7) Torta de chocolate; e</w:t>
              <w:br/>
              <w:t>c.4.8) Torta de frutas.</w:t>
              <w:br/>
              <w:t>c.5) Mesa de café:</w:t>
              <w:br/>
              <w:t>c.5.1) Café de primeira linha, chá diversos sabores;</w:t>
              <w:br/>
              <w:t>c.5.2) Petit four;</w:t>
              <w:br/>
              <w:t>c.5.3) bombons finos; e</w:t>
              <w:br/>
              <w:t>c.5.4) barrinhas de chocolate com menta.</w:t>
              <w:br/>
              <w:t>d) Pessoal/equipe:</w:t>
              <w:br/>
              <w:t>d.1) Para o almoço/jantar precedido de coquetel, a empresa deverá prever os empregados necessários (maitre, garçons e copeiros), fazendo com que os mesmos compareçam ao evento com uniformes adequados às suas finalidades, limpos e bem apresentados, nas quantidades necessárias ao número de convidados/participantes, para cada evento, devendo ser previsto no mínimo 01(um) garçom para até 20 (vinte) convidados e 01(um) ajudante de salão uniformizado, para manter o local limpo durante o evento.</w:t>
              <w:br/>
              <w:t>d.2) Para o almoço/jantar precedido de coquetel volante deverá prever o pessoal necessário para montagem do local, acompanhamento e limpeza após o evento. No mínimo 02 (dois) funcionários.</w:t>
              <w:br/>
              <w:t>e) Material:</w:t>
              <w:br/>
              <w:t>e.1) Durante o coquetel volante:</w:t>
              <w:br/>
              <w:t>-  mesas de apoio com toalhas e arranjos;</w:t>
              <w:br/>
              <w:t>-  01(uma) mesa redonda para cada 15 (quinze) pessoas;</w:t>
              <w:br/>
              <w:t>- 01(uma) mesa de almoço/jantar redonda para cada 08 (oito) pessoas, com arranjos, toalhas e cobre manchas; e</w:t>
              <w:br/>
              <w:t>- cadeiras com capas de pano (o gestor do contrato poderá intervir nas cores das toalhas de mesa).</w:t>
              <w:br/>
              <w:t>e.2) Biombos para separação do local da preparação dos alimentos dos locais destinados aos convidados.</w:t>
              <w:br/>
              <w:t>e.3) Mesa retangular para linha de servir guarnecida com rechauds de primeira linha. Montar 01 (uma) linha de servir para cada 60 (sessenta) convidados;</w:t>
              <w:br/>
              <w:t>e.4)  Samouvar para mesa de café, sousplat em inox, pratos, talheres, taças, copos, guardanapos de pano, xícaras, pires, colherzinha para café, bandejas, tudo de primeira linha;</w:t>
              <w:br/>
              <w:t>e.5) Material para as mesas de frios (de responsabilidade da contratada): pratos de louça e talheres de inox, tábuas e todos os acessórios destinados à montagem.</w:t>
              <w:br/>
              <w:t>e.6) O material para uso no serviço deverá ser fornecido pela CONTRATADA e ser de primeira linha: padronizado, limpo e sem qualquer defeito, incluídos: pratos, talheres, copos (taças), xícaras, pires, panelas, adequados às suas finalidades, bem como, travessas, bandejas e outros que sejam necessários para a boa execução do serviço.</w:t>
              <w:br/>
              <w:t>f) Condições de Execução</w:t>
              <w:br/>
              <w:t>f.1) Tempo de duração: 3 horas</w:t>
            </w:r>
          </w:p>
        </w:tc>
        <w:tc>
          <w:tcPr>
            <w:tcW w:w="1411" w:type="dxa"/>
            <w:tcBorders>
              <w:bottom w:val="single" w:sz="4" w:space="0" w:color="000000"/>
              <w:right w:val="single" w:sz="4" w:space="0" w:color="000000"/>
            </w:tcBorders>
            <w:vAlign w:val="center"/>
          </w:tcPr>
          <w:p>
            <w:pPr>
              <w:pStyle w:val="Normal"/>
              <w:widowControl w:val="false"/>
              <w:jc w:val="center"/>
              <w:rPr>
                <w:rFonts w:cs="Arial"/>
                <w:color w:val="000000"/>
                <w:szCs w:val="20"/>
              </w:rPr>
            </w:pPr>
            <w:r>
              <w:rPr>
                <w:rFonts w:cs="Arial"/>
                <w:color w:val="000000"/>
                <w:szCs w:val="20"/>
              </w:rPr>
              <w:t>3697</w:t>
            </w:r>
          </w:p>
        </w:tc>
        <w:tc>
          <w:tcPr>
            <w:tcW w:w="846" w:type="dxa"/>
            <w:tcBorders>
              <w:bottom w:val="single" w:sz="4" w:space="0" w:color="000000"/>
              <w:right w:val="single" w:sz="4" w:space="0" w:color="000000"/>
            </w:tcBorders>
            <w:vAlign w:val="center"/>
          </w:tcPr>
          <w:p>
            <w:pPr>
              <w:pStyle w:val="Normal"/>
              <w:widowControl w:val="false"/>
              <w:jc w:val="center"/>
              <w:rPr>
                <w:rFonts w:cs="Arial"/>
                <w:color w:val="000000"/>
                <w:szCs w:val="20"/>
              </w:rPr>
            </w:pPr>
            <w:r>
              <w:rPr>
                <w:rFonts w:cs="Arial"/>
                <w:color w:val="000000"/>
                <w:szCs w:val="20"/>
              </w:rPr>
              <w:t>UN</w:t>
            </w:r>
          </w:p>
        </w:tc>
        <w:tc>
          <w:tcPr>
            <w:tcW w:w="847" w:type="dxa"/>
            <w:tcBorders>
              <w:bottom w:val="single" w:sz="4" w:space="0" w:color="000000"/>
              <w:right w:val="single" w:sz="4" w:space="0" w:color="000000"/>
            </w:tcBorders>
            <w:vAlign w:val="center"/>
          </w:tcPr>
          <w:p>
            <w:pPr>
              <w:pStyle w:val="Normal"/>
              <w:widowControl w:val="false"/>
              <w:jc w:val="center"/>
              <w:rPr>
                <w:rFonts w:ascii="Calibri" w:hAnsi="Calibri" w:cs="Times New Roman"/>
                <w:color w:val="000000"/>
                <w:sz w:val="22"/>
                <w:szCs w:val="22"/>
              </w:rPr>
            </w:pPr>
            <w:r>
              <w:rPr>
                <w:rFonts w:cs="Times New Roman" w:ascii="Calibri" w:hAnsi="Calibri"/>
                <w:color w:val="000000"/>
                <w:sz w:val="22"/>
                <w:szCs w:val="22"/>
              </w:rPr>
              <w:t>6.080</w:t>
            </w:r>
          </w:p>
        </w:tc>
        <w:tc>
          <w:tcPr>
            <w:tcW w:w="1420" w:type="dxa"/>
            <w:tcBorders>
              <w:bottom w:val="single" w:sz="4" w:space="0" w:color="000000"/>
              <w:right w:val="single" w:sz="4" w:space="0" w:color="000000"/>
            </w:tcBorders>
            <w:vAlign w:val="center"/>
          </w:tcPr>
          <w:p>
            <w:pPr>
              <w:pStyle w:val="Normal"/>
              <w:widowControl w:val="false"/>
              <w:jc w:val="center"/>
              <w:rPr>
                <w:rFonts w:cs="Arial"/>
                <w:color w:val="000000"/>
                <w:szCs w:val="20"/>
              </w:rPr>
            </w:pPr>
            <w:r>
              <w:rPr>
                <w:rFonts w:cs="Arial"/>
                <w:color w:val="000000"/>
                <w:szCs w:val="20"/>
              </w:rPr>
              <w:t>R$ 119,00</w:t>
            </w:r>
          </w:p>
        </w:tc>
        <w:tc>
          <w:tcPr>
            <w:tcW w:w="1551" w:type="dxa"/>
            <w:tcBorders>
              <w:bottom w:val="single" w:sz="4" w:space="0" w:color="000000"/>
              <w:right w:val="single" w:sz="4" w:space="0" w:color="000000"/>
            </w:tcBorders>
            <w:vAlign w:val="center"/>
          </w:tcPr>
          <w:p>
            <w:pPr>
              <w:pStyle w:val="Normal"/>
              <w:widowControl w:val="false"/>
              <w:jc w:val="center"/>
              <w:rPr>
                <w:rFonts w:cs="Arial"/>
                <w:color w:val="000000"/>
                <w:szCs w:val="20"/>
              </w:rPr>
            </w:pPr>
            <w:r>
              <w:rPr>
                <w:rFonts w:cs="Arial"/>
                <w:color w:val="000000"/>
                <w:szCs w:val="20"/>
              </w:rPr>
              <w:t xml:space="preserve"> </w:t>
            </w:r>
            <w:r>
              <w:rPr>
                <w:rFonts w:cs="Arial"/>
                <w:color w:val="000000"/>
                <w:szCs w:val="20"/>
              </w:rPr>
              <w:t>R$  723.520,00</w:t>
            </w:r>
          </w:p>
        </w:tc>
      </w:tr>
      <w:tr>
        <w:trPr>
          <w:trHeight w:val="5842" w:hRule="atLeast"/>
        </w:trPr>
        <w:tc>
          <w:tcPr>
            <w:tcW w:w="613" w:type="dxa"/>
            <w:tcBorders>
              <w:left w:val="single" w:sz="4" w:space="0" w:color="000000"/>
              <w:bottom w:val="single" w:sz="4" w:space="0" w:color="000000"/>
              <w:right w:val="single" w:sz="4" w:space="0" w:color="000000"/>
            </w:tcBorders>
            <w:vAlign w:val="center"/>
          </w:tcPr>
          <w:p>
            <w:pPr>
              <w:pStyle w:val="Normal"/>
              <w:widowControl w:val="false"/>
              <w:jc w:val="center"/>
              <w:rPr>
                <w:rFonts w:cs="Arial"/>
                <w:color w:val="000000"/>
                <w:szCs w:val="20"/>
              </w:rPr>
            </w:pPr>
            <w:r>
              <w:rPr>
                <w:rFonts w:cs="Arial"/>
                <w:color w:val="000000"/>
                <w:szCs w:val="20"/>
              </w:rPr>
              <w:t>2</w:t>
            </w:r>
          </w:p>
        </w:tc>
        <w:tc>
          <w:tcPr>
            <w:tcW w:w="3636" w:type="dxa"/>
            <w:tcBorders>
              <w:bottom w:val="single" w:sz="4" w:space="0" w:color="000000"/>
              <w:right w:val="single" w:sz="4" w:space="0" w:color="000000"/>
            </w:tcBorders>
            <w:vAlign w:val="center"/>
          </w:tcPr>
          <w:p>
            <w:pPr>
              <w:pStyle w:val="Normal"/>
              <w:widowControl w:val="false"/>
              <w:rPr>
                <w:rFonts w:cs="Arial"/>
                <w:color w:val="000000"/>
              </w:rPr>
            </w:pPr>
            <w:r>
              <w:rPr>
                <w:rFonts w:cs="Arial"/>
                <w:b/>
                <w:bCs/>
                <w:color w:val="000000"/>
                <w:sz w:val="28"/>
                <w:szCs w:val="28"/>
              </w:rPr>
              <w:t>Coffee break Tipo I</w:t>
            </w:r>
            <w:r>
              <w:rPr>
                <w:rFonts w:cs="Arial"/>
                <w:color w:val="000000"/>
                <w:sz w:val="16"/>
                <w:szCs w:val="16"/>
              </w:rPr>
              <w:br/>
              <w:br/>
              <w:t>a) Composição:</w:t>
              <w:br/>
              <w:t xml:space="preserve"> a.1)  Suco de frutas diversas (natural ou polpa): 01 (uma) jarra de 1 litro, para cada 04 (quatro) participantes.</w:t>
              <w:br/>
              <w:t xml:space="preserve"> a.2) Refrigerantes a base de Cola, Guaraná e Diet; 01 (uma) jarra de 1 litro, para cada 04 (quatro) participantes.</w:t>
              <w:br/>
              <w:t xml:space="preserve"> a.3)  Café preto: 01(uma) garrafa térmica de 5 (cinco) litros para cada tipo de coffee break.</w:t>
              <w:br/>
              <w:t xml:space="preserve"> a.4) Água mineral, com e sem gás.</w:t>
              <w:br/>
              <w:t xml:space="preserve"> a.5) 03 (três) tipos de salgados fritos: mínimo (três) unidades por pessoa.</w:t>
              <w:br/>
              <w:t xml:space="preserve"> a.6) 03 (três) tipos de salgados assados: mínimo (três) unidades por pessoa.</w:t>
              <w:br/>
              <w:t xml:space="preserve"> a.7) 01 (um) tipo de salgado folhado: mínimo (três) unidades por pessoa.</w:t>
              <w:br/>
              <w:t xml:space="preserve"> a.8)  Pão de queijo médio:  mínimo (três) unidades por pessoa.</w:t>
              <w:br/>
              <w:t xml:space="preserve"> a.9)  Petit four – mínimo 03 (três) tipos.</w:t>
              <w:br/>
              <w:t xml:space="preserve"> a.10) 01 (um) opção de proteína e guarnição de acordo com as sugestões apresentadas,  servidos em réchaud em linha self-service:</w:t>
              <w:br/>
              <w:t xml:space="preserve"> a.10.1) Strogonoff de filé acompanhado de arroz branco e batata palha;</w:t>
              <w:br/>
              <w:t xml:space="preserve"> a.10.2) Escondidinho de carne seca acompanhado com arroz colorido;</w:t>
              <w:br/>
              <w:t xml:space="preserve"> a.10.3) Risoto de cordeiro acompanhado com batata bolinha.</w:t>
              <w:br/>
              <w:br/>
              <w:t>b) Material:</w:t>
              <w:br/>
              <w:t>b.1)  Copos de vidro para suco.</w:t>
              <w:br/>
              <w:t>b.2)  Xícaras de porcelana para café.</w:t>
              <w:br/>
              <w:t xml:space="preserve">b.3) Toalhas de mesa. </w:t>
              <w:br/>
              <w:t>b.4) pratos de louça;</w:t>
              <w:br/>
              <w:t>b.5) Talheres de inox.</w:t>
              <w:br/>
              <w:t>b.6) Réchaud.</w:t>
              <w:br/>
              <w:t>b.7) Talheres para servir.</w:t>
              <w:br/>
              <w:br/>
              <w:t>c) Pessoal/equipe:</w:t>
              <w:br/>
              <w:t>c.1) Para o coffee break, a empresa deverá prever os empregados necessários (maitre, garçons, cozinheiros, copeiros e demais que se fizerem necessário), fazendo com que os mesmos compareçam ao evento com uniformes adequados às suas finalidades, limpos e bem apresentados e padronizados, nas quantidades necessárias ao número de convidados/participantes, para cada evento, devendo ser previsto no mínimo 01(um) garçom para até 20 (vinte) convidados e 01(um) ajudante de salão uniformizado, para manter o local limpo durante o evento.</w:t>
              <w:br/>
              <w:t>c.2) Para o coffee break deverá prever o pessoal necessário para montagem do local, acompanhamento e limpeza após o evento. No mínimo 02 (dois) funcionários.</w:t>
              <w:br/>
              <w:br/>
              <w:t>d) Material:</w:t>
              <w:br/>
              <w:t>d.1) O material para uso no serviço deverá ser fornecido pela CONTRATADA e ser de primeira linha: padronizado, limpo e sem qualquer defeito, incluídos: pratos, talheres, copos (taças), xícaras, pires, panelas, adequados às suas finalidades, bem como, travessas, bandejas e outros que sejam necessários para a boa execução do serviço.</w:t>
              <w:br/>
              <w:t>e) Tempo de duração:</w:t>
              <w:br/>
              <w:t>e.1) Tempo de duração: 2 horas</w:t>
            </w:r>
          </w:p>
        </w:tc>
        <w:tc>
          <w:tcPr>
            <w:tcW w:w="1411" w:type="dxa"/>
            <w:tcBorders>
              <w:bottom w:val="single" w:sz="4" w:space="0" w:color="000000"/>
              <w:right w:val="single" w:sz="4" w:space="0" w:color="000000"/>
            </w:tcBorders>
            <w:vAlign w:val="center"/>
          </w:tcPr>
          <w:p>
            <w:pPr>
              <w:pStyle w:val="Normal"/>
              <w:widowControl w:val="false"/>
              <w:jc w:val="center"/>
              <w:rPr>
                <w:rFonts w:cs="Arial"/>
                <w:color w:val="000000"/>
                <w:szCs w:val="20"/>
              </w:rPr>
            </w:pPr>
            <w:r>
              <w:rPr>
                <w:rFonts w:cs="Arial"/>
                <w:color w:val="000000"/>
                <w:szCs w:val="20"/>
              </w:rPr>
              <w:t>3697</w:t>
            </w:r>
          </w:p>
        </w:tc>
        <w:tc>
          <w:tcPr>
            <w:tcW w:w="846" w:type="dxa"/>
            <w:tcBorders>
              <w:bottom w:val="single" w:sz="4" w:space="0" w:color="000000"/>
              <w:right w:val="single" w:sz="4" w:space="0" w:color="000000"/>
            </w:tcBorders>
            <w:vAlign w:val="center"/>
          </w:tcPr>
          <w:p>
            <w:pPr>
              <w:pStyle w:val="Normal"/>
              <w:widowControl w:val="false"/>
              <w:jc w:val="center"/>
              <w:rPr>
                <w:rFonts w:cs="Arial"/>
                <w:color w:val="000000"/>
                <w:szCs w:val="20"/>
              </w:rPr>
            </w:pPr>
            <w:r>
              <w:rPr>
                <w:rFonts w:cs="Arial"/>
                <w:color w:val="000000"/>
                <w:szCs w:val="20"/>
              </w:rPr>
              <w:t>UN</w:t>
            </w:r>
          </w:p>
        </w:tc>
        <w:tc>
          <w:tcPr>
            <w:tcW w:w="847" w:type="dxa"/>
            <w:tcBorders>
              <w:bottom w:val="single" w:sz="4" w:space="0" w:color="000000"/>
              <w:right w:val="single" w:sz="4" w:space="0" w:color="000000"/>
            </w:tcBorders>
            <w:vAlign w:val="center"/>
          </w:tcPr>
          <w:p>
            <w:pPr>
              <w:pStyle w:val="Normal"/>
              <w:widowControl w:val="false"/>
              <w:jc w:val="center"/>
              <w:rPr>
                <w:rFonts w:ascii="Calibri" w:hAnsi="Calibri" w:cs="Times New Roman"/>
                <w:color w:val="000000"/>
                <w:sz w:val="22"/>
                <w:szCs w:val="22"/>
              </w:rPr>
            </w:pPr>
            <w:r>
              <w:rPr>
                <w:rFonts w:cs="Times New Roman" w:ascii="Calibri" w:hAnsi="Calibri"/>
                <w:color w:val="000000"/>
                <w:sz w:val="22"/>
                <w:szCs w:val="22"/>
              </w:rPr>
              <w:t>8.100</w:t>
            </w:r>
          </w:p>
        </w:tc>
        <w:tc>
          <w:tcPr>
            <w:tcW w:w="1420" w:type="dxa"/>
            <w:tcBorders>
              <w:bottom w:val="single" w:sz="4" w:space="0" w:color="000000"/>
              <w:right w:val="single" w:sz="4" w:space="0" w:color="000000"/>
            </w:tcBorders>
            <w:vAlign w:val="center"/>
          </w:tcPr>
          <w:p>
            <w:pPr>
              <w:pStyle w:val="Normal"/>
              <w:widowControl w:val="false"/>
              <w:jc w:val="center"/>
              <w:rPr>
                <w:rFonts w:cs="Arial"/>
                <w:color w:val="000000"/>
                <w:szCs w:val="20"/>
              </w:rPr>
            </w:pPr>
            <w:r>
              <w:rPr>
                <w:rFonts w:cs="Arial"/>
                <w:color w:val="000000"/>
                <w:szCs w:val="20"/>
              </w:rPr>
              <w:t>R$ 65,75</w:t>
            </w:r>
          </w:p>
        </w:tc>
        <w:tc>
          <w:tcPr>
            <w:tcW w:w="1551" w:type="dxa"/>
            <w:tcBorders>
              <w:bottom w:val="single" w:sz="4" w:space="0" w:color="000000"/>
              <w:right w:val="single" w:sz="4" w:space="0" w:color="000000"/>
            </w:tcBorders>
            <w:vAlign w:val="center"/>
          </w:tcPr>
          <w:p>
            <w:pPr>
              <w:pStyle w:val="Normal"/>
              <w:widowControl w:val="false"/>
              <w:jc w:val="center"/>
              <w:rPr>
                <w:rFonts w:cs="Arial"/>
                <w:color w:val="000000"/>
                <w:szCs w:val="20"/>
              </w:rPr>
            </w:pPr>
            <w:r>
              <w:rPr>
                <w:rFonts w:cs="Arial"/>
                <w:color w:val="000000"/>
                <w:szCs w:val="20"/>
              </w:rPr>
              <w:t xml:space="preserve"> </w:t>
            </w:r>
            <w:r>
              <w:rPr>
                <w:rFonts w:cs="Arial"/>
                <w:color w:val="000000"/>
                <w:szCs w:val="20"/>
              </w:rPr>
              <w:t>R$  532.575,00</w:t>
            </w:r>
          </w:p>
        </w:tc>
      </w:tr>
      <w:tr>
        <w:trPr>
          <w:trHeight w:val="53" w:hRule="atLeast"/>
        </w:trPr>
        <w:tc>
          <w:tcPr>
            <w:tcW w:w="613" w:type="dxa"/>
            <w:tcBorders>
              <w:left w:val="single" w:sz="4" w:space="0" w:color="000000"/>
              <w:bottom w:val="single" w:sz="4" w:space="0" w:color="000000"/>
              <w:right w:val="single" w:sz="4" w:space="0" w:color="000000"/>
            </w:tcBorders>
            <w:vAlign w:val="center"/>
          </w:tcPr>
          <w:p>
            <w:pPr>
              <w:pStyle w:val="Normal"/>
              <w:widowControl w:val="false"/>
              <w:jc w:val="center"/>
              <w:rPr>
                <w:rFonts w:cs="Arial"/>
                <w:color w:val="000000"/>
                <w:szCs w:val="20"/>
              </w:rPr>
            </w:pPr>
            <w:r>
              <w:rPr>
                <w:rFonts w:cs="Arial"/>
                <w:color w:val="000000"/>
                <w:szCs w:val="20"/>
              </w:rPr>
            </w:r>
          </w:p>
          <w:p>
            <w:pPr>
              <w:pStyle w:val="Normal"/>
              <w:widowControl w:val="false"/>
              <w:jc w:val="center"/>
              <w:rPr>
                <w:rFonts w:cs="Arial"/>
                <w:color w:val="000000"/>
                <w:szCs w:val="20"/>
              </w:rPr>
            </w:pPr>
            <w:r>
              <w:rPr>
                <w:rFonts w:cs="Arial"/>
                <w:color w:val="000000"/>
                <w:szCs w:val="20"/>
              </w:rPr>
              <w:t>3</w:t>
            </w:r>
          </w:p>
        </w:tc>
        <w:tc>
          <w:tcPr>
            <w:tcW w:w="3636" w:type="dxa"/>
            <w:tcBorders>
              <w:bottom w:val="single" w:sz="4" w:space="0" w:color="000000"/>
              <w:right w:val="single" w:sz="4" w:space="0" w:color="000000"/>
            </w:tcBorders>
            <w:vAlign w:val="bottom"/>
          </w:tcPr>
          <w:p>
            <w:pPr>
              <w:pStyle w:val="Normal"/>
              <w:widowControl w:val="false"/>
              <w:rPr>
                <w:b/>
                <w:b/>
                <w:bCs/>
              </w:rPr>
            </w:pPr>
            <w:r>
              <w:rPr>
                <w:b/>
                <w:bCs/>
              </w:rPr>
            </w:r>
          </w:p>
          <w:p>
            <w:pPr>
              <w:pStyle w:val="Normal"/>
              <w:widowControl w:val="false"/>
              <w:rPr>
                <w:rFonts w:cs="Arial"/>
                <w:color w:val="000000"/>
              </w:rPr>
            </w:pPr>
            <w:r>
              <w:rPr>
                <w:rFonts w:cs="Arial"/>
                <w:b/>
                <w:bCs/>
                <w:color w:val="000000"/>
                <w:sz w:val="28"/>
                <w:szCs w:val="28"/>
              </w:rPr>
              <w:t>Coffee break Tipo II</w:t>
            </w:r>
            <w:r>
              <w:rPr>
                <w:rFonts w:cs="Arial"/>
                <w:color w:val="000000"/>
                <w:sz w:val="16"/>
                <w:szCs w:val="16"/>
              </w:rPr>
              <w:br/>
              <w:t>a) Composição:</w:t>
              <w:br/>
              <w:t xml:space="preserve"> a.1)  Suco de frutas diversas (natural ou polpa): 01 (uma) jarra de 1 litro, para cada 04 (quatro) participantes.</w:t>
              <w:br/>
              <w:t xml:space="preserve"> a.2) Refrigerantes a base de Cola, Guaraná e Diet; 01 (uma) jarra de 1 litro, para cada 04 (quatro) participantes.</w:t>
              <w:br/>
              <w:t xml:space="preserve"> a.3)  Café preto: 01(uma) garrafa térmica de 5 (cinco) litros para cada tipo de coffee break.</w:t>
              <w:br/>
              <w:t xml:space="preserve"> a.4) Água mineral, com e sem gás.</w:t>
              <w:br/>
              <w:t xml:space="preserve"> a.5) 03 (três) tipos de salgados fritos: mínimo (três) unidades por pessoa.</w:t>
              <w:br/>
              <w:t xml:space="preserve"> a.6) 03 (três) tipos de salgados assados: mínimo (três) unidades por pessoa.</w:t>
              <w:br/>
              <w:t xml:space="preserve"> a.7)  Pão de queijo médio:  mínimo (três) unidades por pessoa.</w:t>
              <w:br/>
              <w:t xml:space="preserve"> a.8)  Petit four – mínimo 03 (três) tipos.</w:t>
              <w:br/>
              <w:t xml:space="preserve"> a.9) Sanduíche pronto, composto de: queijo, presunto ou lombo canadense e alface – mínimo 01(um) por pessoa.</w:t>
              <w:br/>
              <w:t xml:space="preserve"> a.10) Bolo, sabores diversos: mínimo 02(duas) fatias por pessoa.</w:t>
              <w:br/>
              <w:t xml:space="preserve"> a.12) 01 (um) tipo de salgado folhado: mínimo (três) unidades por pessoa. </w:t>
              <w:br/>
              <w:br/>
              <w:t>b) Material:</w:t>
              <w:br/>
              <w:t>b.1)  Copos de vidro para suco.</w:t>
              <w:br/>
              <w:t>b.2)  Xícaras de porcelana para café.</w:t>
              <w:br/>
              <w:t xml:space="preserve">b.3) Toalhas de mesa. </w:t>
              <w:br/>
              <w:br/>
              <w:t>c) Pessoal/equipe:</w:t>
              <w:br/>
              <w:t>c.1) Para o coffee break, a empresa deverá prever os empregados necessários (maitre, garçons, cozinheiros, copeiros e demais que se fizerem necessário), fazendo com que os mesmos compareçam ao evento com uniformes adequados às suas finalidades, limpos e bem apresentados e padronizados, nas quantidades necessárias ao número de convidados/participantes, para cada evento, devendo ser previsto no mínimo 01(um) garçom para até 20 (vinte) convidados e 01(um) ajudante de salão uniformizado, para manter o local limpo durante o evento.</w:t>
              <w:br/>
              <w:t>c.2) Para o coffee break deverá prever o pessoal necessário para montagem do local, acompanhamento e limpeza após o evento. No mínimo 02 (dois) funcionários.</w:t>
              <w:br/>
              <w:br/>
              <w:t>d) Material:</w:t>
              <w:br/>
              <w:t>d.1) O material para uso no serviço deverá ser fornecido pela CONTRATADA e ser de primeira linha: padronizado, limpo e sem qualquer defeito, incluídos: pratos, talheres, copos (taças), xícaras, pires, panelas, adequados às suas finalidades, bem como, travessas, bandejas e outros que sejam necessários para a boa execução do serviço.</w:t>
              <w:br/>
              <w:t>e) Tempo de duração:</w:t>
              <w:br/>
              <w:t>e.1) Tempo de duração: 2 horas</w:t>
            </w:r>
          </w:p>
        </w:tc>
        <w:tc>
          <w:tcPr>
            <w:tcW w:w="1411" w:type="dxa"/>
            <w:tcBorders>
              <w:bottom w:val="single" w:sz="4" w:space="0" w:color="000000"/>
              <w:right w:val="single" w:sz="4" w:space="0" w:color="000000"/>
            </w:tcBorders>
            <w:vAlign w:val="center"/>
          </w:tcPr>
          <w:p>
            <w:pPr>
              <w:pStyle w:val="Normal"/>
              <w:widowControl w:val="false"/>
              <w:jc w:val="center"/>
              <w:rPr>
                <w:rFonts w:cs="Arial"/>
                <w:color w:val="000000"/>
                <w:szCs w:val="20"/>
              </w:rPr>
            </w:pPr>
            <w:r>
              <w:rPr>
                <w:rFonts w:cs="Arial"/>
                <w:color w:val="000000"/>
                <w:szCs w:val="20"/>
              </w:rPr>
            </w:r>
          </w:p>
          <w:p>
            <w:pPr>
              <w:pStyle w:val="Normal"/>
              <w:widowControl w:val="false"/>
              <w:jc w:val="center"/>
              <w:rPr>
                <w:rFonts w:cs="Arial"/>
                <w:color w:val="000000"/>
                <w:szCs w:val="20"/>
              </w:rPr>
            </w:pPr>
            <w:r>
              <w:rPr>
                <w:rFonts w:cs="Arial"/>
                <w:color w:val="000000"/>
                <w:szCs w:val="20"/>
              </w:rPr>
              <w:t>3697</w:t>
            </w:r>
          </w:p>
        </w:tc>
        <w:tc>
          <w:tcPr>
            <w:tcW w:w="846" w:type="dxa"/>
            <w:tcBorders>
              <w:bottom w:val="single" w:sz="4" w:space="0" w:color="000000"/>
              <w:right w:val="single" w:sz="4" w:space="0" w:color="000000"/>
            </w:tcBorders>
            <w:vAlign w:val="center"/>
          </w:tcPr>
          <w:p>
            <w:pPr>
              <w:pStyle w:val="Normal"/>
              <w:widowControl w:val="false"/>
              <w:jc w:val="center"/>
              <w:rPr>
                <w:rFonts w:cs="Arial"/>
                <w:color w:val="000000"/>
                <w:szCs w:val="20"/>
              </w:rPr>
            </w:pPr>
            <w:r>
              <w:rPr>
                <w:rFonts w:cs="Arial"/>
                <w:color w:val="000000"/>
                <w:szCs w:val="20"/>
              </w:rPr>
            </w:r>
          </w:p>
          <w:p>
            <w:pPr>
              <w:pStyle w:val="Normal"/>
              <w:widowControl w:val="false"/>
              <w:jc w:val="center"/>
              <w:rPr>
                <w:rFonts w:cs="Arial"/>
                <w:color w:val="000000"/>
                <w:szCs w:val="20"/>
              </w:rPr>
            </w:pPr>
            <w:r>
              <w:rPr>
                <w:rFonts w:cs="Arial"/>
                <w:color w:val="000000"/>
                <w:szCs w:val="20"/>
              </w:rPr>
              <w:t>UN</w:t>
            </w:r>
          </w:p>
        </w:tc>
        <w:tc>
          <w:tcPr>
            <w:tcW w:w="847" w:type="dxa"/>
            <w:tcBorders>
              <w:bottom w:val="single" w:sz="4" w:space="0" w:color="000000"/>
              <w:right w:val="single" w:sz="4" w:space="0" w:color="000000"/>
            </w:tcBorders>
            <w:vAlign w:val="center"/>
          </w:tcPr>
          <w:p>
            <w:pPr>
              <w:pStyle w:val="Normal"/>
              <w:widowControl w:val="false"/>
              <w:jc w:val="center"/>
              <w:rPr>
                <w:rFonts w:ascii="Calibri" w:hAnsi="Calibri" w:cs="Times New Roman"/>
                <w:color w:val="000000"/>
                <w:sz w:val="22"/>
                <w:szCs w:val="22"/>
              </w:rPr>
            </w:pPr>
            <w:r>
              <w:rPr>
                <w:rFonts w:cs="Times New Roman" w:ascii="Calibri" w:hAnsi="Calibri"/>
                <w:color w:val="000000"/>
                <w:sz w:val="22"/>
                <w:szCs w:val="22"/>
              </w:rPr>
            </w:r>
          </w:p>
          <w:p>
            <w:pPr>
              <w:pStyle w:val="Normal"/>
              <w:widowControl w:val="false"/>
              <w:jc w:val="center"/>
              <w:rPr>
                <w:rFonts w:ascii="Calibri" w:hAnsi="Calibri" w:cs="Times New Roman"/>
                <w:color w:val="000000"/>
                <w:sz w:val="22"/>
                <w:szCs w:val="22"/>
              </w:rPr>
            </w:pPr>
            <w:r>
              <w:rPr>
                <w:rFonts w:cs="Times New Roman" w:ascii="Calibri" w:hAnsi="Calibri"/>
                <w:color w:val="000000"/>
                <w:sz w:val="22"/>
                <w:szCs w:val="22"/>
              </w:rPr>
              <w:t>15.220</w:t>
            </w:r>
          </w:p>
        </w:tc>
        <w:tc>
          <w:tcPr>
            <w:tcW w:w="1420" w:type="dxa"/>
            <w:tcBorders>
              <w:bottom w:val="single" w:sz="4" w:space="0" w:color="000000"/>
              <w:right w:val="single" w:sz="4" w:space="0" w:color="000000"/>
            </w:tcBorders>
            <w:vAlign w:val="center"/>
          </w:tcPr>
          <w:p>
            <w:pPr>
              <w:pStyle w:val="Normal"/>
              <w:widowControl w:val="false"/>
              <w:jc w:val="center"/>
              <w:rPr>
                <w:rFonts w:cs="Arial"/>
                <w:color w:val="000000"/>
                <w:szCs w:val="20"/>
              </w:rPr>
            </w:pPr>
            <w:r>
              <w:rPr>
                <w:rFonts w:cs="Arial"/>
                <w:color w:val="000000"/>
                <w:szCs w:val="20"/>
              </w:rPr>
            </w:r>
          </w:p>
          <w:p>
            <w:pPr>
              <w:pStyle w:val="Normal"/>
              <w:widowControl w:val="false"/>
              <w:jc w:val="center"/>
              <w:rPr>
                <w:rFonts w:cs="Arial"/>
                <w:color w:val="000000"/>
                <w:szCs w:val="20"/>
              </w:rPr>
            </w:pPr>
            <w:r>
              <w:rPr>
                <w:rFonts w:cs="Arial"/>
                <w:color w:val="000000"/>
                <w:szCs w:val="20"/>
              </w:rPr>
              <w:t>R$ 42,50</w:t>
            </w:r>
          </w:p>
        </w:tc>
        <w:tc>
          <w:tcPr>
            <w:tcW w:w="1551" w:type="dxa"/>
            <w:tcBorders>
              <w:bottom w:val="single" w:sz="4" w:space="0" w:color="000000"/>
              <w:right w:val="single" w:sz="4" w:space="0" w:color="000000"/>
            </w:tcBorders>
            <w:vAlign w:val="center"/>
          </w:tcPr>
          <w:p>
            <w:pPr>
              <w:pStyle w:val="Normal"/>
              <w:widowControl w:val="false"/>
              <w:jc w:val="center"/>
              <w:rPr>
                <w:rFonts w:cs="Arial"/>
                <w:color w:val="000000"/>
                <w:szCs w:val="20"/>
              </w:rPr>
            </w:pPr>
            <w:r>
              <w:rPr>
                <w:rFonts w:cs="Arial"/>
                <w:color w:val="000000"/>
                <w:szCs w:val="20"/>
              </w:rPr>
            </w:r>
          </w:p>
          <w:p>
            <w:pPr>
              <w:pStyle w:val="Normal"/>
              <w:widowControl w:val="false"/>
              <w:jc w:val="center"/>
              <w:rPr>
                <w:rFonts w:cs="Arial"/>
                <w:color w:val="000000"/>
                <w:szCs w:val="20"/>
              </w:rPr>
            </w:pPr>
            <w:r>
              <w:rPr>
                <w:rFonts w:cs="Arial"/>
                <w:color w:val="000000"/>
                <w:szCs w:val="20"/>
              </w:rPr>
              <w:t xml:space="preserve"> </w:t>
            </w:r>
            <w:r>
              <w:rPr>
                <w:rFonts w:cs="Arial"/>
                <w:color w:val="000000"/>
                <w:szCs w:val="20"/>
              </w:rPr>
              <w:t>R$ 646.850,00</w:t>
            </w:r>
          </w:p>
        </w:tc>
      </w:tr>
      <w:tr>
        <w:trPr>
          <w:trHeight w:val="8192" w:hRule="atLeast"/>
        </w:trPr>
        <w:tc>
          <w:tcPr>
            <w:tcW w:w="613" w:type="dxa"/>
            <w:tcBorders>
              <w:left w:val="single" w:sz="4" w:space="0" w:color="000000"/>
              <w:bottom w:val="single" w:sz="4" w:space="0" w:color="000000"/>
              <w:right w:val="single" w:sz="4" w:space="0" w:color="000000"/>
            </w:tcBorders>
            <w:vAlign w:val="center"/>
          </w:tcPr>
          <w:p>
            <w:pPr>
              <w:pStyle w:val="Normal"/>
              <w:widowControl w:val="false"/>
              <w:jc w:val="center"/>
              <w:rPr>
                <w:rFonts w:cs="Arial"/>
                <w:color w:val="000000"/>
                <w:szCs w:val="20"/>
              </w:rPr>
            </w:pPr>
            <w:r>
              <w:rPr>
                <w:rFonts w:cs="Arial"/>
                <w:color w:val="000000"/>
                <w:szCs w:val="20"/>
              </w:rPr>
              <w:t>4</w:t>
            </w:r>
          </w:p>
        </w:tc>
        <w:tc>
          <w:tcPr>
            <w:tcW w:w="3636" w:type="dxa"/>
            <w:tcBorders>
              <w:bottom w:val="single" w:sz="4" w:space="0" w:color="000000"/>
              <w:right w:val="single" w:sz="4" w:space="0" w:color="000000"/>
            </w:tcBorders>
            <w:vAlign w:val="bottom"/>
          </w:tcPr>
          <w:p>
            <w:pPr>
              <w:pStyle w:val="Normal"/>
              <w:widowControl w:val="false"/>
              <w:rPr>
                <w:rFonts w:cs="Arial"/>
                <w:color w:val="000000"/>
              </w:rPr>
            </w:pPr>
            <w:r>
              <w:rPr>
                <w:rFonts w:cs="Arial"/>
                <w:b/>
                <w:bCs/>
                <w:color w:val="000000"/>
                <w:sz w:val="28"/>
                <w:szCs w:val="28"/>
              </w:rPr>
              <w:t>Café da manhã</w:t>
            </w:r>
            <w:r>
              <w:rPr>
                <w:rFonts w:cs="Arial"/>
                <w:color w:val="000000"/>
                <w:sz w:val="16"/>
                <w:szCs w:val="16"/>
              </w:rPr>
              <w:br/>
              <w:t>a) Composição:</w:t>
              <w:br/>
              <w:t xml:space="preserve"> a.1)  Suco de frutas diversas (natural ou polpa): 01 (uma) jarra de 1 litro, para cada 04 (quatro) participantes.</w:t>
              <w:br/>
              <w:t xml:space="preserve"> a.2) Chá 02 sabores(Preto e Capim-cidreira): mínimo 240 ml por pessoa.</w:t>
              <w:br/>
              <w:t xml:space="preserve"> a.3)  Café preto e chocolate quente: 01(uma) garrafa térmica de 5 (cinco) litros para ambos.</w:t>
              <w:br/>
              <w:t xml:space="preserve"> a.4) Leite quente: 01(uma) garrafa térmica de 5 (cinco) litros.</w:t>
              <w:br/>
              <w:t xml:space="preserve"> a.5) Iogurte sabores diversos: mínimo 90 g por pessoa.</w:t>
              <w:br/>
              <w:t xml:space="preserve"> a.6) Pão francês, pão doce, pão integral e torrada: mínimo 01(um) tipo pão por pessoa.</w:t>
              <w:br/>
              <w:t xml:space="preserve"> a.7) Ovos mexidos e salsicha ao molho tomate  servidos em réchaud. </w:t>
              <w:br/>
              <w:t xml:space="preserve"> a.8)  Pão de queijo médio:  mínimo (três) unidades por pessoa.</w:t>
              <w:br/>
              <w:t xml:space="preserve"> a.9) Torta salgada: mínimo 01(uma) fatia por pessoa.</w:t>
              <w:br/>
              <w:t xml:space="preserve"> a.10) Queijo mussarela e presunto fatiados: mínimo 02(duas) fatias de cada por pessoa.  </w:t>
              <w:br/>
              <w:t xml:space="preserve"> a.11) Manteiga, requeijão cremoso, dois tipos de geleia sabores diversos.</w:t>
              <w:br/>
              <w:t xml:space="preserve"> a.12) Bolo, sabores diversos: mínimo 02(duas) fatias por pessoa.</w:t>
              <w:br/>
              <w:t xml:space="preserve"> a.13) 05 (cinco) tipos de frutas para consumo( mamão fatiado, melão fatiado, melancia fatiado, maçã e banana).</w:t>
              <w:br/>
              <w:br/>
              <w:t>b) Material:</w:t>
              <w:br/>
              <w:t>b.1)  Copos de vidro para suco.</w:t>
              <w:br/>
              <w:t>b.2)  Xícaras de porcelana para café.</w:t>
              <w:br/>
              <w:t xml:space="preserve">b.3) Toalhas de mesa. </w:t>
              <w:br/>
              <w:t>b.4) pratos de louça;</w:t>
              <w:br/>
              <w:t>b.5) Talheres de inox médios.</w:t>
              <w:br/>
              <w:t>b.6) Réchaud.</w:t>
              <w:br/>
              <w:t>b.7) Talheres para servir.</w:t>
              <w:br/>
              <w:br/>
              <w:t>c) Pessoal/equipe:</w:t>
              <w:br/>
              <w:t>c.1) Para o coffee break, a empresa deverá prever os empregados necessários (maitre, garçons, cozinheiros, copeiros e demais que se fizerem necessário), fazendo com que os mesmos compareçam ao evento com uniformes adequados às suas finalidades, limpos e bem apresentados e padronizados, nas quantidades necessárias ao número de convidados/participantes, para cada evento, devendo ser previsto no mínimo 01(um) garçom para até 20 (vinte) convidados e 01(um) ajudante de salão uniformizado, para manter o local limpo durante o evento.</w:t>
              <w:br/>
              <w:t>c.2) Para o coffee break deverá prever o pessoal necessário para montagem do local, acompanhamento e limpeza após o evento. No mínimo 02 (dois) funcionários.</w:t>
              <w:br/>
              <w:br/>
              <w:t>d) Material:</w:t>
              <w:br/>
              <w:t>d.1) O material para uso no serviço deverá ser fornecido pela CONTRATADA e ser de primeira linha: padronizado, limpo e sem qualquer defeito, incluídos: pratos, talheres, copos (taças), xícaras, pires, panelas, adequados às suas finalidades, bem como, travessas, bandejas e outros que sejam necessários para a boa execução do serviço.</w:t>
              <w:br/>
              <w:t>e) Tempo de duração:</w:t>
              <w:br/>
              <w:t>e.1) Tempo de duração: 2 horas</w:t>
            </w:r>
          </w:p>
        </w:tc>
        <w:tc>
          <w:tcPr>
            <w:tcW w:w="1411" w:type="dxa"/>
            <w:tcBorders>
              <w:bottom w:val="single" w:sz="4" w:space="0" w:color="000000"/>
              <w:right w:val="single" w:sz="4" w:space="0" w:color="000000"/>
            </w:tcBorders>
            <w:vAlign w:val="center"/>
          </w:tcPr>
          <w:p>
            <w:pPr>
              <w:pStyle w:val="Normal"/>
              <w:widowControl w:val="false"/>
              <w:jc w:val="center"/>
              <w:rPr>
                <w:rFonts w:cs="Arial"/>
                <w:color w:val="000000"/>
                <w:szCs w:val="20"/>
              </w:rPr>
            </w:pPr>
            <w:r>
              <w:rPr>
                <w:rFonts w:cs="Arial"/>
                <w:color w:val="000000"/>
                <w:szCs w:val="20"/>
              </w:rPr>
              <w:t>3697</w:t>
            </w:r>
          </w:p>
        </w:tc>
        <w:tc>
          <w:tcPr>
            <w:tcW w:w="846" w:type="dxa"/>
            <w:tcBorders>
              <w:bottom w:val="single" w:sz="4" w:space="0" w:color="000000"/>
              <w:right w:val="single" w:sz="4" w:space="0" w:color="000000"/>
            </w:tcBorders>
            <w:vAlign w:val="center"/>
          </w:tcPr>
          <w:p>
            <w:pPr>
              <w:pStyle w:val="Normal"/>
              <w:widowControl w:val="false"/>
              <w:jc w:val="center"/>
              <w:rPr>
                <w:rFonts w:cs="Arial"/>
                <w:color w:val="000000"/>
                <w:szCs w:val="20"/>
              </w:rPr>
            </w:pPr>
            <w:r>
              <w:rPr>
                <w:rFonts w:cs="Arial"/>
                <w:color w:val="000000"/>
                <w:szCs w:val="20"/>
              </w:rPr>
              <w:t>UN</w:t>
            </w:r>
          </w:p>
        </w:tc>
        <w:tc>
          <w:tcPr>
            <w:tcW w:w="847" w:type="dxa"/>
            <w:tcBorders>
              <w:bottom w:val="single" w:sz="4" w:space="0" w:color="000000"/>
              <w:right w:val="single" w:sz="4" w:space="0" w:color="000000"/>
            </w:tcBorders>
            <w:vAlign w:val="center"/>
          </w:tcPr>
          <w:p>
            <w:pPr>
              <w:pStyle w:val="Normal"/>
              <w:widowControl w:val="false"/>
              <w:jc w:val="center"/>
              <w:rPr>
                <w:rFonts w:ascii="Calibri" w:hAnsi="Calibri" w:cs="Times New Roman"/>
                <w:color w:val="000000"/>
                <w:sz w:val="22"/>
                <w:szCs w:val="22"/>
              </w:rPr>
            </w:pPr>
            <w:r>
              <w:rPr>
                <w:rFonts w:cs="Times New Roman" w:ascii="Calibri" w:hAnsi="Calibri"/>
                <w:color w:val="000000"/>
                <w:sz w:val="22"/>
                <w:szCs w:val="22"/>
              </w:rPr>
              <w:t>2.400</w:t>
            </w:r>
          </w:p>
        </w:tc>
        <w:tc>
          <w:tcPr>
            <w:tcW w:w="1420" w:type="dxa"/>
            <w:tcBorders>
              <w:bottom w:val="single" w:sz="4" w:space="0" w:color="000000"/>
              <w:right w:val="single" w:sz="4" w:space="0" w:color="000000"/>
            </w:tcBorders>
            <w:vAlign w:val="center"/>
          </w:tcPr>
          <w:p>
            <w:pPr>
              <w:pStyle w:val="Normal"/>
              <w:widowControl w:val="false"/>
              <w:jc w:val="center"/>
              <w:rPr>
                <w:rFonts w:cs="Arial"/>
                <w:color w:val="000000"/>
                <w:szCs w:val="20"/>
              </w:rPr>
            </w:pPr>
            <w:r>
              <w:rPr>
                <w:rFonts w:cs="Arial"/>
                <w:color w:val="000000"/>
                <w:szCs w:val="20"/>
              </w:rPr>
              <w:t>R$ 42,20</w:t>
            </w:r>
          </w:p>
        </w:tc>
        <w:tc>
          <w:tcPr>
            <w:tcW w:w="1551" w:type="dxa"/>
            <w:tcBorders>
              <w:bottom w:val="single" w:sz="4" w:space="0" w:color="000000"/>
              <w:right w:val="single" w:sz="4" w:space="0" w:color="000000"/>
            </w:tcBorders>
            <w:vAlign w:val="center"/>
          </w:tcPr>
          <w:p>
            <w:pPr>
              <w:pStyle w:val="Normal"/>
              <w:widowControl w:val="false"/>
              <w:jc w:val="center"/>
              <w:rPr>
                <w:rFonts w:cs="Arial"/>
                <w:color w:val="000000"/>
                <w:szCs w:val="20"/>
              </w:rPr>
            </w:pPr>
            <w:r>
              <w:rPr>
                <w:rFonts w:cs="Arial"/>
                <w:color w:val="000000"/>
                <w:szCs w:val="20"/>
              </w:rPr>
              <w:t xml:space="preserve"> </w:t>
            </w:r>
            <w:r>
              <w:rPr>
                <w:rFonts w:cs="Arial"/>
                <w:color w:val="000000"/>
                <w:szCs w:val="20"/>
              </w:rPr>
              <w:t>R$    101.280,00</w:t>
            </w:r>
          </w:p>
        </w:tc>
      </w:tr>
      <w:tr>
        <w:trPr>
          <w:trHeight w:val="7260" w:hRule="atLeast"/>
        </w:trPr>
        <w:tc>
          <w:tcPr>
            <w:tcW w:w="613" w:type="dxa"/>
            <w:tcBorders>
              <w:left w:val="single" w:sz="4" w:space="0" w:color="000000"/>
              <w:bottom w:val="single" w:sz="4" w:space="0" w:color="000000"/>
              <w:right w:val="single" w:sz="4" w:space="0" w:color="000000"/>
            </w:tcBorders>
            <w:vAlign w:val="center"/>
          </w:tcPr>
          <w:p>
            <w:pPr>
              <w:pStyle w:val="Normal"/>
              <w:widowControl w:val="false"/>
              <w:jc w:val="center"/>
              <w:rPr>
                <w:rFonts w:cs="Arial"/>
                <w:color w:val="000000"/>
                <w:szCs w:val="20"/>
              </w:rPr>
            </w:pPr>
            <w:r>
              <w:rPr>
                <w:rFonts w:cs="Arial"/>
                <w:color w:val="000000"/>
                <w:szCs w:val="20"/>
              </w:rPr>
              <w:t>5</w:t>
            </w:r>
          </w:p>
        </w:tc>
        <w:tc>
          <w:tcPr>
            <w:tcW w:w="3636" w:type="dxa"/>
            <w:tcBorders>
              <w:bottom w:val="single" w:sz="4" w:space="0" w:color="000000"/>
              <w:right w:val="single" w:sz="4" w:space="0" w:color="000000"/>
            </w:tcBorders>
            <w:vAlign w:val="bottom"/>
          </w:tcPr>
          <w:p>
            <w:pPr>
              <w:pStyle w:val="Normal"/>
              <w:widowControl w:val="false"/>
              <w:rPr>
                <w:rFonts w:cs="Arial"/>
                <w:color w:val="000000"/>
              </w:rPr>
            </w:pPr>
            <w:r>
              <w:rPr>
                <w:rFonts w:cs="Arial"/>
                <w:b/>
                <w:bCs/>
                <w:color w:val="000000"/>
                <w:sz w:val="28"/>
                <w:szCs w:val="28"/>
              </w:rPr>
              <w:t>Coquetel volante com empratados e mesa de frios e de café na saída</w:t>
            </w:r>
            <w:r>
              <w:rPr>
                <w:rFonts w:cs="Arial"/>
                <w:color w:val="000000"/>
                <w:sz w:val="16"/>
                <w:szCs w:val="16"/>
              </w:rPr>
              <w:br/>
              <w:br/>
              <w:t>A contratada deverá apresentar um cardápio contendo: os itens do coquetel volante (mínimo 03(três) tipos de canapés, 03(três) tipos de salgados fritos, 03 (três) tipos de salgados assados, 03(três) tipos de folhados, 03(três) tipos de tartelettes, 01 (um) tipo de isca de peixe ao molho tártaro, mínimo 3 (três) opções de empratados sendo 2 (dois) a base de proteínas e 1 (um) vegetariano; e os itens constantes na mesa de frios: mínimo 3 (três) tipos de queijo nacional ou importado, mínimo 3 (três) tipos de presunto nacional ou importado, mínimo 3 (três) tipos de pães, mínimo 2 (dois) tipos de geleias, frutas secas, frutas frescas e bebidas, podendo a administração substituir em até 40% (quarenta por cento) dos itens do cardápio apresentado pela contratada por evento, além de existir a previsão de prato vegetariano para casos de restrições alimentares.</w:t>
              <w:br/>
              <w:t>Poderá ser solicitado uma degustação para no máximo 15 (quinze) pessoas do cardápio aprovado, devendo ser acrescentado esse quantitativo no quantitativo do evento.</w:t>
              <w:br/>
              <w:t>Sugestão de cardápio:</w:t>
              <w:br/>
              <w:t>a)Bebidas:</w:t>
              <w:br/>
              <w:t>a.1) Refrigerantes a base de Cola, tipo coca cola ou similar de melhor qualidade;</w:t>
              <w:br/>
              <w:t>a.2) Guaraná e Diet, tipo Antártica ou similar de melhor qualidade;</w:t>
              <w:br/>
              <w:t>a.3) Água mineral, com e sem gás;</w:t>
              <w:br/>
              <w:t>a.4) Coquetel de frutas sem álcool;</w:t>
              <w:br/>
              <w:t>a.7) Suco natural de frutas – no mínimo dois sabores; e</w:t>
              <w:br/>
              <w:br/>
              <w:t>b) Coquetel volante:</w:t>
              <w:br/>
              <w:t>b.1) 03(três) tipos de canapés;</w:t>
              <w:br/>
              <w:t>b.2) 03(três) tipos de salgados fritos;</w:t>
              <w:br/>
              <w:t>b.3) 03(três) tipos de salgados assados;</w:t>
              <w:br/>
              <w:t>b.4) 03(três) tipos de folhados;</w:t>
              <w:br/>
              <w:t>b.5) 03(três) tipos de tartelettes;</w:t>
              <w:br/>
              <w:t>b.6) 01 (um) tipo de isca de peixe ao molho tártaro; e</w:t>
              <w:br/>
              <w:t>b.7) 01 (um) tipo de isca de carne de 1ª qualidade.</w:t>
              <w:br/>
              <w:t>b.8) Escondidinho de carne seca;</w:t>
              <w:br/>
              <w:t>b.9) Fricassê de frango;</w:t>
              <w:br/>
              <w:t>b.10) Bobó de camarão;</w:t>
              <w:br/>
              <w:t>b.11) Rondelli de queijo e presunto; e</w:t>
              <w:br/>
              <w:t>b.12) Rondelli verde.</w:t>
              <w:br/>
              <w:t>b.13) Mesa de Frios (para coquetel volante):</w:t>
              <w:br/>
              <w:t>b.14) Toalhas de mesa e arranjos para as mesas de frios;</w:t>
              <w:br/>
              <w:t>b.15) 02 (duas) cestas de pães finos variados para cada mesa de frios;</w:t>
              <w:br/>
              <w:t>b.16) Berinjela italiana;</w:t>
              <w:br/>
              <w:t>b.17) 04 (quatro) tipos de pastas de sabores:</w:t>
              <w:br/>
              <w:t>- ervas finas;</w:t>
              <w:br/>
              <w:t>- provolone;</w:t>
              <w:br/>
              <w:t>- tomate seco; e</w:t>
              <w:br/>
              <w:t>- salaminho;</w:t>
              <w:br/>
              <w:t>b.18.2) Musses de 02 (dois) tipos:</w:t>
              <w:br/>
              <w:t>- Gorgonzola; e</w:t>
              <w:br/>
              <w:t>- frango;</w:t>
              <w:br/>
              <w:t>b.18.3) Frios de 07 (sete) tipos:</w:t>
              <w:br/>
              <w:t>- Salaminho;</w:t>
              <w:br/>
              <w:t>- lombo defumado;</w:t>
              <w:br/>
              <w:t>- peito de peru;</w:t>
              <w:br/>
              <w:t>- peito de cheester;</w:t>
              <w:br/>
              <w:t>- blanquete de frango;</w:t>
              <w:br/>
              <w:t>- presunto defumado; e</w:t>
              <w:br/>
              <w:t>- presunto simples;</w:t>
              <w:br/>
              <w:t>b.18.4) Queijos de 03 (três) tipos:</w:t>
              <w:br/>
              <w:t>- Provolone;</w:t>
              <w:br/>
              <w:t>- mussarela; e</w:t>
              <w:br/>
              <w:t>- queijo prato;</w:t>
              <w:br/>
              <w:t>b.18.5) Carpaccio de carne ao molho de mostarda com alcaparras;</w:t>
              <w:br/>
              <w:t>b.18.6) Pães de metro.</w:t>
              <w:br/>
              <w:br/>
              <w:t>c) Pessoal/equipe:</w:t>
              <w:br/>
              <w:t>c.1)  Para o coquetel volante com empratados, a empresa deverá prever os empregados necessários (maitre, garçons e copeiros), fazendo com que os mesmos compareçam ao evento com uniformes adequados às suas finalidades, limpos e bem-apresentados, nas quantidades necessárias ao número de convidados/participantes, para cada evento, devendo ser previsto no mínimo 01 (um) garçom para até 20 (vinte) convidados e 01 (um) ajudante de salão uniformizado, para manter o local limpo durante o evento.</w:t>
              <w:br/>
              <w:t>c.2)  Para o coquetel volante com empratados deverá prever o pessoal necessário para montagem do local, acompanhamento e limpeza após o evento. No mínimo 02 (dois) funcionários.</w:t>
              <w:br/>
              <w:t>d) Material:</w:t>
              <w:br/>
              <w:t>d.1)  Mesas de apoio com toalhas e arranjos:</w:t>
              <w:br/>
              <w:t>- 01(uma) mesa redonda para cada 60 (sessenta) pessoas.</w:t>
              <w:br/>
              <w:t>d.2)  Biombos para separação do local da preparação dos alimentos dos locais destinados aos convidados.</w:t>
              <w:br/>
              <w:t>d.3) Material para as mesas de frios (de responsabilidade da contratada):</w:t>
              <w:br/>
              <w:t>- pratos de louça;</w:t>
              <w:br/>
              <w:t>- talheres de inox;</w:t>
              <w:br/>
              <w:t>- tábuas; e</w:t>
              <w:br/>
              <w:t>- todos os acessórios destinados à montagem.</w:t>
              <w:br/>
              <w:t>d.4) Samouvar para mesa de café, sousplat em inox, pratos, talheres, taças, copos, guardanapos de pano, xícaras, pires, colherzinha para café, bandejas, tudo de primeira linha;</w:t>
              <w:br/>
              <w:t>d.5) O material para uso no serviço deverá ser fornecido pela CONTRATADA e ser de primeira linha: padronizado, limpo e sem qualquer defeito, incluídos: pratos, talheres, copos (taças), xícaras, pires, panelas, adequados às suas finalidades, bem como, travessas, bandejas e outros que sejam necessários para a boa execução do serviço.</w:t>
              <w:br/>
              <w:t>e) Condições de Execução:</w:t>
              <w:br/>
              <w:t>e.1) Tempo de duração: 3 horas</w:t>
            </w:r>
          </w:p>
        </w:tc>
        <w:tc>
          <w:tcPr>
            <w:tcW w:w="1411" w:type="dxa"/>
            <w:tcBorders>
              <w:bottom w:val="single" w:sz="4" w:space="0" w:color="000000"/>
              <w:right w:val="single" w:sz="4" w:space="0" w:color="000000"/>
            </w:tcBorders>
            <w:vAlign w:val="center"/>
          </w:tcPr>
          <w:p>
            <w:pPr>
              <w:pStyle w:val="Normal"/>
              <w:widowControl w:val="false"/>
              <w:jc w:val="center"/>
              <w:rPr>
                <w:rFonts w:cs="Arial"/>
                <w:color w:val="000000"/>
                <w:szCs w:val="20"/>
              </w:rPr>
            </w:pPr>
            <w:r>
              <w:rPr>
                <w:rFonts w:cs="Arial"/>
                <w:color w:val="000000"/>
                <w:szCs w:val="20"/>
              </w:rPr>
              <w:t>3697</w:t>
            </w:r>
          </w:p>
        </w:tc>
        <w:tc>
          <w:tcPr>
            <w:tcW w:w="846" w:type="dxa"/>
            <w:tcBorders>
              <w:bottom w:val="single" w:sz="4" w:space="0" w:color="000000"/>
              <w:right w:val="single" w:sz="4" w:space="0" w:color="000000"/>
            </w:tcBorders>
            <w:vAlign w:val="center"/>
          </w:tcPr>
          <w:p>
            <w:pPr>
              <w:pStyle w:val="Normal"/>
              <w:widowControl w:val="false"/>
              <w:jc w:val="center"/>
              <w:rPr>
                <w:rFonts w:cs="Arial"/>
                <w:color w:val="000000"/>
                <w:szCs w:val="20"/>
              </w:rPr>
            </w:pPr>
            <w:r>
              <w:rPr>
                <w:rFonts w:cs="Arial"/>
                <w:color w:val="000000"/>
                <w:szCs w:val="20"/>
              </w:rPr>
              <w:t>UN</w:t>
            </w:r>
          </w:p>
        </w:tc>
        <w:tc>
          <w:tcPr>
            <w:tcW w:w="847" w:type="dxa"/>
            <w:tcBorders>
              <w:bottom w:val="single" w:sz="4" w:space="0" w:color="000000"/>
              <w:right w:val="single" w:sz="4" w:space="0" w:color="000000"/>
            </w:tcBorders>
            <w:vAlign w:val="center"/>
          </w:tcPr>
          <w:p>
            <w:pPr>
              <w:pStyle w:val="Normal"/>
              <w:widowControl w:val="false"/>
              <w:jc w:val="center"/>
              <w:rPr>
                <w:rFonts w:ascii="Calibri" w:hAnsi="Calibri" w:cs="Times New Roman"/>
                <w:color w:val="000000"/>
                <w:sz w:val="22"/>
                <w:szCs w:val="22"/>
              </w:rPr>
            </w:pPr>
            <w:r>
              <w:rPr>
                <w:rFonts w:cs="Times New Roman" w:ascii="Calibri" w:hAnsi="Calibri"/>
                <w:color w:val="000000"/>
                <w:sz w:val="22"/>
                <w:szCs w:val="22"/>
              </w:rPr>
              <w:t>12.340</w:t>
            </w:r>
          </w:p>
        </w:tc>
        <w:tc>
          <w:tcPr>
            <w:tcW w:w="1420" w:type="dxa"/>
            <w:tcBorders>
              <w:bottom w:val="single" w:sz="4" w:space="0" w:color="000000"/>
              <w:right w:val="single" w:sz="4" w:space="0" w:color="000000"/>
            </w:tcBorders>
            <w:vAlign w:val="center"/>
          </w:tcPr>
          <w:p>
            <w:pPr>
              <w:pStyle w:val="Normal"/>
              <w:widowControl w:val="false"/>
              <w:jc w:val="center"/>
              <w:rPr>
                <w:rFonts w:cs="Arial"/>
                <w:color w:val="000000"/>
                <w:szCs w:val="20"/>
              </w:rPr>
            </w:pPr>
            <w:r>
              <w:rPr>
                <w:rFonts w:cs="Arial"/>
                <w:color w:val="000000"/>
                <w:szCs w:val="20"/>
              </w:rPr>
              <w:t>R$ 110,80</w:t>
            </w:r>
          </w:p>
        </w:tc>
        <w:tc>
          <w:tcPr>
            <w:tcW w:w="1551" w:type="dxa"/>
            <w:tcBorders>
              <w:bottom w:val="single" w:sz="4" w:space="0" w:color="000000"/>
              <w:right w:val="single" w:sz="4" w:space="0" w:color="000000"/>
            </w:tcBorders>
            <w:vAlign w:val="center"/>
          </w:tcPr>
          <w:p>
            <w:pPr>
              <w:pStyle w:val="Normal"/>
              <w:widowControl w:val="false"/>
              <w:jc w:val="center"/>
              <w:rPr>
                <w:rFonts w:cs="Arial"/>
                <w:color w:val="000000"/>
                <w:szCs w:val="20"/>
              </w:rPr>
            </w:pPr>
            <w:r>
              <w:rPr>
                <w:rFonts w:cs="Arial"/>
                <w:color w:val="000000"/>
                <w:szCs w:val="20"/>
              </w:rPr>
              <w:t xml:space="preserve"> </w:t>
            </w:r>
            <w:r>
              <w:rPr>
                <w:rFonts w:cs="Arial"/>
                <w:color w:val="000000"/>
                <w:szCs w:val="20"/>
              </w:rPr>
              <w:t>R$  1.367.272,00</w:t>
            </w:r>
          </w:p>
        </w:tc>
      </w:tr>
    </w:tbl>
    <w:p>
      <w:pPr>
        <w:pStyle w:val="Normal"/>
        <w:spacing w:lineRule="auto" w:line="276" w:before="120" w:after="120"/>
        <w:jc w:val="both"/>
        <w:rPr>
          <w:rFonts w:cs="Arial"/>
          <w:i/>
          <w:i/>
          <w:color w:val="FF0000"/>
          <w:szCs w:val="20"/>
        </w:rPr>
      </w:pPr>
      <w:r>
        <w:rPr>
          <w:rFonts w:cs="Arial"/>
          <w:i/>
          <w:color w:val="FF0000"/>
          <w:szCs w:val="20"/>
        </w:rPr>
      </w:r>
    </w:p>
    <w:p>
      <w:pPr>
        <w:pStyle w:val="Normal"/>
        <w:spacing w:lineRule="auto" w:line="276" w:before="120" w:after="120"/>
        <w:jc w:val="both"/>
        <w:rPr>
          <w:rFonts w:cs="Arial"/>
          <w:i w:val="false"/>
          <w:i w:val="false"/>
          <w:iCs w:val="false"/>
          <w:color w:val="000000"/>
          <w:szCs w:val="20"/>
          <w:u w:val="none"/>
        </w:rPr>
      </w:pPr>
      <w:r>
        <w:rPr>
          <w:rFonts w:cs="Arial"/>
          <w:i w:val="false"/>
          <w:iCs w:val="false"/>
          <w:color w:val="000000"/>
          <w:szCs w:val="20"/>
          <w:u w:val="none"/>
        </w:rPr>
      </w:r>
    </w:p>
    <w:p>
      <w:pPr>
        <w:pStyle w:val="Normal"/>
        <w:spacing w:lineRule="auto" w:line="276" w:before="120" w:after="120"/>
        <w:jc w:val="both"/>
        <w:rPr>
          <w:rFonts w:cs="Arial"/>
          <w:i w:val="false"/>
          <w:i w:val="false"/>
          <w:iCs w:val="false"/>
          <w:color w:val="000000"/>
          <w:szCs w:val="20"/>
          <w:u w:val="none"/>
        </w:rPr>
      </w:pPr>
      <w:r>
        <w:rPr>
          <w:rFonts w:cs="Arial"/>
          <w:i w:val="false"/>
          <w:iCs w:val="false"/>
          <w:color w:val="000000"/>
          <w:szCs w:val="20"/>
          <w:u w:val="none"/>
        </w:rPr>
      </w:r>
    </w:p>
    <w:p>
      <w:pPr>
        <w:pStyle w:val="Normal"/>
        <w:spacing w:lineRule="auto" w:line="276" w:before="120" w:after="120"/>
        <w:jc w:val="both"/>
        <w:rPr>
          <w:rFonts w:cs="Arial"/>
          <w:i w:val="false"/>
          <w:i w:val="false"/>
          <w:iCs w:val="false"/>
          <w:color w:val="000000"/>
          <w:szCs w:val="20"/>
          <w:u w:val="none"/>
        </w:rPr>
      </w:pPr>
      <w:r>
        <w:rPr>
          <w:rFonts w:cs="Arial"/>
          <w:i w:val="false"/>
          <w:iCs w:val="false"/>
          <w:color w:val="000000"/>
          <w:szCs w:val="20"/>
          <w:u w:val="none"/>
        </w:rPr>
      </w:r>
    </w:p>
    <w:p>
      <w:pPr>
        <w:pStyle w:val="Normal"/>
        <w:spacing w:lineRule="auto" w:line="276" w:before="120" w:after="120"/>
        <w:jc w:val="both"/>
        <w:rPr>
          <w:rFonts w:cs="Arial"/>
          <w:i w:val="false"/>
          <w:i w:val="false"/>
          <w:iCs w:val="false"/>
          <w:color w:val="000000"/>
          <w:szCs w:val="20"/>
          <w:u w:val="none"/>
        </w:rPr>
      </w:pPr>
      <w:r>
        <w:rPr>
          <w:rFonts w:cs="Arial"/>
          <w:i w:val="false"/>
          <w:iCs w:val="false"/>
          <w:color w:val="000000"/>
          <w:szCs w:val="20"/>
          <w:u w:val="none"/>
        </w:rPr>
      </w:r>
    </w:p>
    <w:p>
      <w:pPr>
        <w:pStyle w:val="Normal"/>
        <w:spacing w:lineRule="auto" w:line="276" w:before="120" w:after="120"/>
        <w:jc w:val="both"/>
        <w:rPr>
          <w:rFonts w:cs="Arial"/>
          <w:i w:val="false"/>
          <w:i w:val="false"/>
          <w:iCs w:val="false"/>
          <w:color w:val="000000"/>
          <w:szCs w:val="20"/>
          <w:u w:val="none"/>
        </w:rPr>
      </w:pPr>
      <w:r>
        <w:rPr>
          <w:rFonts w:cs="Arial"/>
          <w:i w:val="false"/>
          <w:iCs w:val="false"/>
          <w:color w:val="000000"/>
          <w:szCs w:val="20"/>
          <w:u w:val="none"/>
        </w:rPr>
      </w:r>
    </w:p>
    <w:p>
      <w:pPr>
        <w:pStyle w:val="Normal"/>
        <w:spacing w:lineRule="auto" w:line="276" w:before="120" w:after="120"/>
        <w:jc w:val="both"/>
        <w:rPr>
          <w:rFonts w:cs="Arial"/>
          <w:i w:val="false"/>
          <w:i w:val="false"/>
          <w:iCs w:val="false"/>
          <w:color w:val="000000"/>
          <w:szCs w:val="20"/>
          <w:u w:val="none"/>
        </w:rPr>
      </w:pPr>
      <w:r>
        <w:rPr>
          <w:rFonts w:cs="Arial"/>
          <w:i w:val="false"/>
          <w:iCs w:val="false"/>
          <w:color w:val="000000"/>
          <w:szCs w:val="20"/>
          <w:u w:val="none"/>
        </w:rPr>
      </w:r>
    </w:p>
    <w:p>
      <w:pPr>
        <w:pStyle w:val="Normal"/>
        <w:spacing w:lineRule="auto" w:line="276" w:before="120" w:after="120"/>
        <w:jc w:val="both"/>
        <w:rPr>
          <w:rFonts w:cs="Arial"/>
          <w:i w:val="false"/>
          <w:i w:val="false"/>
          <w:iCs w:val="false"/>
          <w:color w:val="000000"/>
          <w:szCs w:val="20"/>
          <w:u w:val="none"/>
        </w:rPr>
      </w:pPr>
      <w:r>
        <w:rPr>
          <w:rFonts w:cs="Arial"/>
          <w:i w:val="false"/>
          <w:iCs w:val="false"/>
          <w:color w:val="000000"/>
          <w:szCs w:val="20"/>
          <w:u w:val="none"/>
        </w:rPr>
      </w:r>
    </w:p>
    <w:p>
      <w:pPr>
        <w:pStyle w:val="Normal"/>
        <w:spacing w:lineRule="auto" w:line="276" w:before="120" w:after="120"/>
        <w:jc w:val="both"/>
        <w:rPr>
          <w:rFonts w:cs="Arial"/>
          <w:i w:val="false"/>
          <w:i w:val="false"/>
          <w:iCs w:val="false"/>
          <w:color w:val="000000"/>
          <w:szCs w:val="20"/>
          <w:u w:val="none"/>
        </w:rPr>
      </w:pPr>
      <w:r>
        <w:rPr>
          <w:rFonts w:cs="Arial"/>
          <w:i w:val="false"/>
          <w:iCs w:val="false"/>
          <w:color w:val="000000"/>
          <w:szCs w:val="20"/>
          <w:u w:val="none"/>
        </w:rPr>
      </w:r>
    </w:p>
    <w:p>
      <w:pPr>
        <w:pStyle w:val="Normal"/>
        <w:spacing w:lineRule="auto" w:line="276" w:before="120" w:after="120"/>
        <w:jc w:val="both"/>
        <w:rPr/>
      </w:pPr>
      <w:r>
        <w:rPr>
          <w:rFonts w:cs="Arial"/>
          <w:i w:val="false"/>
          <w:iCs w:val="false"/>
          <w:color w:val="000000"/>
          <w:szCs w:val="20"/>
          <w:u w:val="none"/>
        </w:rPr>
        <w:t xml:space="preserve">1.1.1. </w:t>
      </w:r>
      <w:r>
        <w:rPr>
          <w:rFonts w:eastAsia="Calibri" w:cs="Arial"/>
          <w:i w:val="false"/>
          <w:iCs w:val="false"/>
          <w:color w:val="000000"/>
          <w:szCs w:val="20"/>
          <w:u w:val="none"/>
        </w:rPr>
        <w:t>Estimativas de consumo individualizadas, do órgão gerenciador e órgão(s) e entidade(s) participante(s):</w:t>
      </w:r>
    </w:p>
    <w:p>
      <w:pPr>
        <w:pStyle w:val="Normal"/>
        <w:spacing w:lineRule="auto" w:line="276" w:before="120" w:after="120"/>
        <w:jc w:val="both"/>
        <w:rPr>
          <w:rFonts w:cs="Arial"/>
          <w:i/>
          <w:i/>
          <w:color w:val="FF0000"/>
          <w:szCs w:val="20"/>
        </w:rPr>
      </w:pPr>
      <w:r>
        <w:rPr>
          <w:rFonts w:cs="Arial"/>
          <w:i/>
          <w:color w:val="FF0000"/>
          <w:szCs w:val="20"/>
        </w:rPr>
      </w:r>
    </w:p>
    <w:p>
      <w:pPr>
        <w:pStyle w:val="Normal"/>
        <w:numPr>
          <w:ilvl w:val="1"/>
          <w:numId w:val="2"/>
        </w:numPr>
        <w:spacing w:lineRule="auto" w:line="276" w:before="120" w:after="120"/>
        <w:jc w:val="both"/>
        <w:rPr/>
      </w:pPr>
      <w:r>
        <w:rPr>
          <w:rFonts w:cs="Arial"/>
          <w:szCs w:val="20"/>
        </w:rPr>
        <w:t xml:space="preserve">O objeto da licitação tem a natureza de serviço comum para contratação de serviços de fornecimento de </w:t>
      </w:r>
      <w:r>
        <w:drawing>
          <wp:anchor behindDoc="0" distT="0" distB="0" distL="0" distR="0" simplePos="0" locked="0" layoutInCell="0" allowOverlap="1" relativeHeight="3">
            <wp:simplePos x="0" y="0"/>
            <wp:positionH relativeFrom="column">
              <wp:posOffset>104140</wp:posOffset>
            </wp:positionH>
            <wp:positionV relativeFrom="paragraph">
              <wp:posOffset>674370</wp:posOffset>
            </wp:positionV>
            <wp:extent cx="6353810" cy="1169670"/>
            <wp:effectExtent l="0" t="0" r="0" b="0"/>
            <wp:wrapSquare wrapText="largest"/>
            <wp:docPr id="2" name="Figura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a1" descr=""/>
                    <pic:cNvPicPr>
                      <a:picLocks noChangeAspect="1" noChangeArrowheads="1"/>
                    </pic:cNvPicPr>
                  </pic:nvPicPr>
                  <pic:blipFill>
                    <a:blip r:embed="rId3"/>
                    <a:stretch>
                      <a:fillRect/>
                    </a:stretch>
                  </pic:blipFill>
                  <pic:spPr bwMode="auto">
                    <a:xfrm>
                      <a:off x="0" y="0"/>
                      <a:ext cx="6353810" cy="1169670"/>
                    </a:xfrm>
                    <a:prstGeom prst="rect">
                      <a:avLst/>
                    </a:prstGeom>
                  </pic:spPr>
                </pic:pic>
              </a:graphicData>
            </a:graphic>
          </wp:anchor>
        </w:drawing>
      </w:r>
      <w:r>
        <w:rPr>
          <w:rFonts w:cs="Arial"/>
          <w:szCs w:val="20"/>
        </w:rPr>
        <w:t>alimentação, com mão de obra especializada,</w:t>
      </w:r>
      <w:r>
        <w:rPr>
          <w:rFonts w:cs="Arial"/>
          <w:szCs w:val="20"/>
          <w:shd w:fill="FFFFFF" w:val="clear"/>
        </w:rPr>
        <w:t xml:space="preserve"> cujos </w:t>
      </w:r>
      <w:r>
        <w:rPr>
          <w:rFonts w:cs="Arial"/>
          <w:color w:val="000000"/>
          <w:szCs w:val="20"/>
          <w:shd w:fill="FFFFFF" w:val="clear"/>
        </w:rPr>
        <w:t>padrões de desempenho e qualidade podem ser objetivamente definidos pelo edital, por meio de especificações usuais no mercado.</w:t>
      </w:r>
    </w:p>
    <w:p>
      <w:pPr>
        <w:pStyle w:val="Normal"/>
        <w:numPr>
          <w:ilvl w:val="1"/>
          <w:numId w:val="2"/>
        </w:numPr>
        <w:spacing w:lineRule="auto" w:line="276" w:before="120" w:after="120"/>
        <w:jc w:val="both"/>
        <w:rPr>
          <w:rFonts w:cs="Arial"/>
          <w:szCs w:val="20"/>
        </w:rPr>
      </w:pPr>
      <w:r>
        <w:rPr>
          <w:rFonts w:cs="Arial"/>
          <w:szCs w:val="20"/>
        </w:rPr>
        <w:t>Os quantitativos e respectivos códigos dos itens são os discriminados na tabela acima.</w:t>
      </w:r>
    </w:p>
    <w:p>
      <w:pPr>
        <w:pStyle w:val="Normal"/>
        <w:numPr>
          <w:ilvl w:val="1"/>
          <w:numId w:val="2"/>
        </w:numPr>
        <w:spacing w:lineRule="auto" w:line="276" w:before="120" w:after="120"/>
        <w:jc w:val="both"/>
        <w:rPr>
          <w:rFonts w:cs="Arial"/>
          <w:szCs w:val="20"/>
        </w:rPr>
      </w:pPr>
      <w:r>
        <w:rPr>
          <w:rFonts w:cs="Arial"/>
          <w:szCs w:val="20"/>
        </w:rPr>
        <w:t>A presente contratação adotará como regime de execução a empreitada por Preço Unitário.</w:t>
      </w:r>
    </w:p>
    <w:p>
      <w:pPr>
        <w:pStyle w:val="Normal"/>
        <w:numPr>
          <w:ilvl w:val="1"/>
          <w:numId w:val="2"/>
        </w:numPr>
        <w:spacing w:lineRule="auto" w:line="276" w:before="120" w:after="120"/>
        <w:jc w:val="both"/>
        <w:rPr>
          <w:rFonts w:cs="Arial"/>
          <w:szCs w:val="20"/>
        </w:rPr>
      </w:pPr>
      <w:r>
        <w:rPr>
          <w:rFonts w:cs="Arial"/>
          <w:szCs w:val="20"/>
        </w:rPr>
        <w:t>O contrato terá vigência pelo período de 12 meses, podendo ser prorrogado, com base no artigo 57, §1º, da Lei n. 8.666/93.</w:t>
      </w:r>
    </w:p>
    <w:p>
      <w:pPr>
        <w:pStyle w:val="Nivel1"/>
        <w:numPr>
          <w:ilvl w:val="0"/>
          <w:numId w:val="2"/>
        </w:numPr>
        <w:spacing w:before="480" w:after="240"/>
        <w:rPr>
          <w:rFonts w:cs="Arial"/>
        </w:rPr>
      </w:pPr>
      <w:r>
        <w:rPr>
          <w:rFonts w:cs="Arial"/>
        </w:rPr>
        <w:t>JUSTIFICATIVA E OBJETIVO DA CONTRATAÇÃO</w:t>
      </w:r>
    </w:p>
    <w:p>
      <w:pPr>
        <w:pStyle w:val="Normal"/>
        <w:numPr>
          <w:ilvl w:val="1"/>
          <w:numId w:val="2"/>
        </w:numPr>
        <w:spacing w:lineRule="auto" w:line="276" w:before="120" w:after="120"/>
        <w:jc w:val="both"/>
        <w:rPr/>
      </w:pPr>
      <w:r>
        <w:rPr>
          <w:rFonts w:cs="Arial"/>
          <w:szCs w:val="20"/>
        </w:rPr>
        <w:t>O presente Termo de Referência destina-se a contratação de empresa(s) especializada(s) para realização de serviços de fornecimento de alimentação, com o intuito atender aos cerimoniais militares em eventos protocolares de caráter institucional, no âmbito do Forte Marechal Rondon, com economia, transparência e dentro do princípio da</w:t>
      </w:r>
      <w:r>
        <w:rPr>
          <w:rFonts w:cs="Arial"/>
          <w:spacing w:val="-8"/>
          <w:szCs w:val="20"/>
        </w:rPr>
        <w:t xml:space="preserve"> </w:t>
      </w:r>
      <w:r>
        <w:rPr>
          <w:rFonts w:cs="Arial"/>
          <w:szCs w:val="20"/>
        </w:rPr>
        <w:t xml:space="preserve">publicidade. </w:t>
      </w:r>
    </w:p>
    <w:p>
      <w:pPr>
        <w:pStyle w:val="Normal"/>
        <w:numPr>
          <w:ilvl w:val="1"/>
          <w:numId w:val="2"/>
        </w:numPr>
        <w:spacing w:lineRule="auto" w:line="276" w:before="120" w:after="120"/>
        <w:jc w:val="both"/>
        <w:rPr>
          <w:rFonts w:cs="Arial"/>
          <w:szCs w:val="20"/>
        </w:rPr>
      </w:pPr>
      <w:r>
        <w:rPr>
          <w:rFonts w:cs="Arial"/>
          <w:szCs w:val="20"/>
        </w:rPr>
        <w:t>A contratação dos serviços descritos neste Termo de referência é de extrema necessidade, tendo em vista que a Ba Adm Cmdo Com GE Ex não possui nenhum Pregão Eletrônico em vigência, e este órgão possui 08 (oito) Organizações Militares que o integram, onde são realizados diversos cerimoniais militares, dentre eles, passagens de comando, aniversários de OMDS, entre outras atividades que necessitam da contratação dos serviços.</w:t>
      </w:r>
    </w:p>
    <w:p>
      <w:pPr>
        <w:pStyle w:val="Nivel1"/>
        <w:numPr>
          <w:ilvl w:val="0"/>
          <w:numId w:val="2"/>
        </w:numPr>
        <w:spacing w:before="480" w:after="240"/>
        <w:rPr/>
      </w:pPr>
      <w:r>
        <w:rPr>
          <w:rFonts w:cs="Arial"/>
        </w:rPr>
        <w:t>DESCRIÇÃO</w:t>
      </w:r>
      <w:r>
        <w:rPr/>
        <w:t xml:space="preserve"> DA SOLUÇÃO:</w:t>
      </w:r>
    </w:p>
    <w:p>
      <w:pPr>
        <w:pStyle w:val="Nivel1"/>
        <w:numPr>
          <w:ilvl w:val="1"/>
          <w:numId w:val="2"/>
        </w:numPr>
        <w:spacing w:before="0" w:after="0"/>
        <w:rPr>
          <w:b w:val="false"/>
          <w:b w:val="false"/>
          <w:szCs w:val="32"/>
          <w:lang w:val="pt-PT"/>
        </w:rPr>
      </w:pPr>
      <w:r>
        <w:rPr>
          <w:b w:val="false"/>
          <w:szCs w:val="32"/>
          <w:lang w:val="pt-PT"/>
        </w:rPr>
        <w:t>A descrição da solução como um todo, encontra-se pormenorizada em Tópico específico dos Estudos Técnicos Preliminares, apêndice deste Termo de Referência.</w:t>
      </w:r>
    </w:p>
    <w:p>
      <w:pPr>
        <w:pStyle w:val="Nivel1"/>
        <w:numPr>
          <w:ilvl w:val="0"/>
          <w:numId w:val="2"/>
        </w:numPr>
        <w:spacing w:before="480" w:after="240"/>
        <w:rPr/>
      </w:pPr>
      <w:r>
        <w:rPr>
          <w:rFonts w:cs="Arial"/>
        </w:rPr>
        <w:t xml:space="preserve">DA CLASSIFICAÇÃO DOS SERVIÇOS </w:t>
      </w:r>
      <w:r>
        <w:rPr>
          <w:rFonts w:cs="Arial"/>
          <w:bCs/>
        </w:rPr>
        <w:t>E FORMA DE SELEÇÃO DO FORNECEDOR</w:t>
      </w:r>
    </w:p>
    <w:p>
      <w:pPr>
        <w:pStyle w:val="Normal"/>
        <w:numPr>
          <w:ilvl w:val="1"/>
          <w:numId w:val="2"/>
        </w:numPr>
        <w:spacing w:lineRule="auto" w:line="276" w:before="0" w:after="120"/>
        <w:jc w:val="both"/>
        <w:rPr>
          <w:rFonts w:cs="Arial"/>
          <w:iCs/>
          <w:szCs w:val="20"/>
        </w:rPr>
      </w:pPr>
      <w:r>
        <w:rPr>
          <w:rFonts w:cs="Arial"/>
          <w:iCs/>
          <w:szCs w:val="20"/>
        </w:rPr>
        <w:t>Trata-se de serviço comum, não continuado, a ser contratado mediante licitação, na modalidade pregão, em sua forma eletrônica.</w:t>
      </w:r>
    </w:p>
    <w:p>
      <w:pPr>
        <w:pStyle w:val="Nivel1"/>
        <w:numPr>
          <w:ilvl w:val="1"/>
          <w:numId w:val="2"/>
        </w:numPr>
        <w:spacing w:before="0" w:after="240"/>
        <w:rPr>
          <w:b w:val="false"/>
          <w:b w:val="false"/>
        </w:rPr>
      </w:pPr>
      <w:r>
        <w:rPr>
          <w:b w:val="false"/>
        </w:rPr>
        <w:t>Os serviços a serem contratados enquadram-se nos pressupostos do Decreto n° 9.507, de 21 de setembro de 2018, não se constituindo em quaisquer das atividades, previstas no art. 3º do aludido decreto, cuja execução indireta é vedada.</w:t>
      </w:r>
    </w:p>
    <w:p>
      <w:pPr>
        <w:pStyle w:val="Nivel1"/>
        <w:numPr>
          <w:ilvl w:val="1"/>
          <w:numId w:val="2"/>
        </w:numPr>
        <w:spacing w:before="0" w:after="0"/>
        <w:rPr>
          <w:b w:val="false"/>
          <w:b w:val="false"/>
        </w:rPr>
      </w:pPr>
      <w:r>
        <w:rPr>
          <w:b w:val="false"/>
        </w:rPr>
        <w:t>A prestação dos serviços não gera vínculo empregatício entre os empregados da Contratada e a Administração Contratante, vedando-se qualquer relação entre estes que caracterize pessoalidade e subordinação direta.</w:t>
      </w:r>
    </w:p>
    <w:p>
      <w:pPr>
        <w:pStyle w:val="Nivel1"/>
        <w:numPr>
          <w:ilvl w:val="0"/>
          <w:numId w:val="2"/>
        </w:numPr>
        <w:rPr>
          <w:rFonts w:cs="Arial"/>
        </w:rPr>
      </w:pPr>
      <w:r>
        <w:rPr>
          <w:rFonts w:cs="Arial"/>
        </w:rPr>
        <w:t>REQUISITOS DA CONTRATAÇÃO</w:t>
      </w:r>
    </w:p>
    <w:p>
      <w:pPr>
        <w:pStyle w:val="ListParagraph"/>
        <w:widowControl w:val="false"/>
        <w:numPr>
          <w:ilvl w:val="1"/>
          <w:numId w:val="2"/>
        </w:numPr>
        <w:tabs>
          <w:tab w:val="clear" w:pos="708"/>
          <w:tab w:val="left" w:pos="1423" w:leader="none"/>
          <w:tab w:val="left" w:pos="1424" w:leader="none"/>
        </w:tabs>
        <w:spacing w:before="156" w:after="0"/>
        <w:contextualSpacing w:val="false"/>
        <w:jc w:val="both"/>
        <w:rPr/>
      </w:pPr>
      <w:r>
        <w:rPr>
          <w:color w:val="000009"/>
        </w:rPr>
        <w:t>Conforme</w:t>
      </w:r>
      <w:r>
        <w:rPr>
          <w:color w:val="000009"/>
          <w:spacing w:val="-9"/>
        </w:rPr>
        <w:t xml:space="preserve"> </w:t>
      </w:r>
      <w:r>
        <w:rPr>
          <w:color w:val="000009"/>
        </w:rPr>
        <w:t>Estudos</w:t>
      </w:r>
      <w:r>
        <w:rPr>
          <w:color w:val="000009"/>
          <w:spacing w:val="-8"/>
        </w:rPr>
        <w:t xml:space="preserve"> </w:t>
      </w:r>
      <w:r>
        <w:rPr>
          <w:color w:val="000009"/>
        </w:rPr>
        <w:t>Preliminares,</w:t>
      </w:r>
      <w:r>
        <w:rPr>
          <w:color w:val="000009"/>
          <w:spacing w:val="-8"/>
        </w:rPr>
        <w:t xml:space="preserve"> </w:t>
      </w:r>
      <w:r>
        <w:rPr>
          <w:color w:val="000009"/>
        </w:rPr>
        <w:t>os</w:t>
      </w:r>
      <w:r>
        <w:rPr>
          <w:color w:val="000009"/>
          <w:spacing w:val="-8"/>
        </w:rPr>
        <w:t xml:space="preserve"> </w:t>
      </w:r>
      <w:r>
        <w:rPr>
          <w:color w:val="000009"/>
        </w:rPr>
        <w:t>requisitos</w:t>
      </w:r>
      <w:r>
        <w:rPr>
          <w:color w:val="000009"/>
          <w:spacing w:val="-8"/>
        </w:rPr>
        <w:t xml:space="preserve"> </w:t>
      </w:r>
      <w:r>
        <w:rPr>
          <w:color w:val="000009"/>
        </w:rPr>
        <w:t>da</w:t>
      </w:r>
      <w:r>
        <w:rPr>
          <w:color w:val="000009"/>
          <w:spacing w:val="-10"/>
        </w:rPr>
        <w:t xml:space="preserve"> </w:t>
      </w:r>
      <w:r>
        <w:rPr>
          <w:color w:val="000009"/>
        </w:rPr>
        <w:t>contratação</w:t>
      </w:r>
      <w:r>
        <w:rPr>
          <w:color w:val="000009"/>
          <w:spacing w:val="-8"/>
        </w:rPr>
        <w:t xml:space="preserve"> </w:t>
      </w:r>
      <w:r>
        <w:rPr>
          <w:color w:val="000009"/>
        </w:rPr>
        <w:t>abrangem</w:t>
      </w:r>
      <w:r>
        <w:rPr>
          <w:color w:val="000009"/>
          <w:spacing w:val="-8"/>
        </w:rPr>
        <w:t xml:space="preserve"> </w:t>
      </w:r>
      <w:r>
        <w:rPr>
          <w:color w:val="000009"/>
        </w:rPr>
        <w:t>o</w:t>
      </w:r>
      <w:r>
        <w:rPr>
          <w:color w:val="000009"/>
          <w:spacing w:val="-9"/>
        </w:rPr>
        <w:t xml:space="preserve"> </w:t>
      </w:r>
      <w:r>
        <w:rPr>
          <w:color w:val="000009"/>
        </w:rPr>
        <w:t>seguinte:</w:t>
      </w:r>
    </w:p>
    <w:p>
      <w:pPr>
        <w:pStyle w:val="ListParagraph"/>
        <w:widowControl w:val="false"/>
        <w:numPr>
          <w:ilvl w:val="2"/>
          <w:numId w:val="2"/>
        </w:numPr>
        <w:tabs>
          <w:tab w:val="clear" w:pos="708"/>
          <w:tab w:val="left" w:pos="1423" w:leader="none"/>
          <w:tab w:val="left" w:pos="1424" w:leader="none"/>
        </w:tabs>
        <w:spacing w:before="156" w:after="0"/>
        <w:contextualSpacing w:val="false"/>
        <w:jc w:val="both"/>
        <w:rPr/>
      </w:pPr>
      <w:r>
        <w:rPr/>
        <w:t>A Licitante poderá ser contratada, desde que seja pessoa jurídica e que explorem ramo de atividade compatível com o objeto licitado e que atendam às condições exigidas no certame.</w:t>
      </w:r>
    </w:p>
    <w:p>
      <w:pPr>
        <w:pStyle w:val="ListParagraph"/>
        <w:widowControl w:val="false"/>
        <w:numPr>
          <w:ilvl w:val="2"/>
          <w:numId w:val="2"/>
        </w:numPr>
        <w:tabs>
          <w:tab w:val="clear" w:pos="708"/>
          <w:tab w:val="left" w:pos="1423" w:leader="none"/>
          <w:tab w:val="left" w:pos="1424" w:leader="none"/>
        </w:tabs>
        <w:spacing w:before="156" w:after="0"/>
        <w:contextualSpacing w:val="false"/>
        <w:jc w:val="both"/>
        <w:rPr/>
      </w:pPr>
      <w:r>
        <w:rPr/>
        <w:t>Serviço não continuado.</w:t>
      </w:r>
    </w:p>
    <w:p>
      <w:pPr>
        <w:pStyle w:val="ListParagraph"/>
        <w:widowControl w:val="false"/>
        <w:numPr>
          <w:ilvl w:val="2"/>
          <w:numId w:val="2"/>
        </w:numPr>
        <w:tabs>
          <w:tab w:val="clear" w:pos="708"/>
          <w:tab w:val="left" w:pos="1423" w:leader="none"/>
          <w:tab w:val="left" w:pos="1424" w:leader="none"/>
        </w:tabs>
        <w:spacing w:before="156" w:after="0"/>
        <w:contextualSpacing w:val="false"/>
        <w:jc w:val="both"/>
        <w:rPr/>
      </w:pPr>
      <w:r>
        <w:rPr/>
        <w:t>Quanto aos critérios de SUSTENTABILIDADE, a CONTRATADA deverá observar as normas de higiene e acondicionamento dos alimentos, prazo de validade, temperatura, embalagem e manuseio conforme consta o prescrito RDC nº 216, de 15 de dezembro de 2004 da Agência Nacional de Vigilância Sanitária (ANVISA).</w:t>
      </w:r>
    </w:p>
    <w:p>
      <w:pPr>
        <w:pStyle w:val="ListParagraph"/>
        <w:widowControl w:val="false"/>
        <w:numPr>
          <w:ilvl w:val="2"/>
          <w:numId w:val="2"/>
        </w:numPr>
        <w:tabs>
          <w:tab w:val="clear" w:pos="708"/>
          <w:tab w:val="left" w:pos="1423" w:leader="none"/>
          <w:tab w:val="left" w:pos="1424" w:leader="none"/>
        </w:tabs>
        <w:spacing w:before="156" w:after="0"/>
        <w:contextualSpacing w:val="false"/>
        <w:jc w:val="both"/>
        <w:rPr/>
      </w:pPr>
      <w:r>
        <w:rPr/>
        <w:t xml:space="preserve">A empresa contratada deverá dispor de equipamento e pessoal especializado para fins de atendimento da Contratada que permita a prestação do serviço contratado; A estrutura fornecida pela Contratada deverá possuir ambiente adequado para acondicionamento dos alimentos e que permita a prestação dos serviços conforme a demanda. </w:t>
      </w:r>
    </w:p>
    <w:p>
      <w:pPr>
        <w:pStyle w:val="ListParagraph"/>
        <w:widowControl w:val="false"/>
        <w:numPr>
          <w:ilvl w:val="2"/>
          <w:numId w:val="2"/>
        </w:numPr>
        <w:tabs>
          <w:tab w:val="clear" w:pos="708"/>
          <w:tab w:val="left" w:pos="1423" w:leader="none"/>
          <w:tab w:val="left" w:pos="1424" w:leader="none"/>
        </w:tabs>
        <w:spacing w:before="156" w:after="0"/>
        <w:contextualSpacing w:val="false"/>
        <w:jc w:val="both"/>
        <w:rPr/>
      </w:pPr>
      <w:r>
        <w:rPr/>
        <w:t xml:space="preserve"> </w:t>
      </w:r>
      <w:r>
        <w:rPr/>
        <w:t xml:space="preserve">A </w:t>
      </w:r>
      <w:r>
        <w:rPr>
          <w:rFonts w:cs="Arial"/>
          <w:szCs w:val="20"/>
        </w:rPr>
        <w:t>Base Administrativa do Comando de Comunicações e Guerra Eletrônica do Exército</w:t>
      </w:r>
      <w:r>
        <w:rPr/>
        <w:t xml:space="preserve"> poderá, a seu exclusivo critério, solicitar reunião prévia, antes da realização do evento, com a equipe CONTRATADA que participará do evento, para dar as orientações e informações que se fizerem necessárias.</w:t>
      </w:r>
    </w:p>
    <w:p>
      <w:pPr>
        <w:pStyle w:val="ListParagraph"/>
        <w:widowControl w:val="false"/>
        <w:numPr>
          <w:ilvl w:val="2"/>
          <w:numId w:val="2"/>
        </w:numPr>
        <w:tabs>
          <w:tab w:val="clear" w:pos="708"/>
          <w:tab w:val="left" w:pos="1423" w:leader="none"/>
          <w:tab w:val="left" w:pos="1424" w:leader="none"/>
        </w:tabs>
        <w:spacing w:before="156" w:after="0"/>
        <w:contextualSpacing w:val="false"/>
        <w:jc w:val="both"/>
        <w:rPr/>
      </w:pPr>
      <w:r>
        <w:rPr/>
        <w:t>Ocorrendo fatos ou anormalidades que venham a prejudicar a perfeita execução dos serviços, deverá a CONTRATADA comunicar à BA ADM/CCOMGEX, em tempo hábil, de preferência por escrito, viabilizando sua interferência e correção da situação apresentada.</w:t>
      </w:r>
    </w:p>
    <w:p>
      <w:pPr>
        <w:pStyle w:val="ListParagraph"/>
        <w:widowControl w:val="false"/>
        <w:numPr>
          <w:ilvl w:val="2"/>
          <w:numId w:val="2"/>
        </w:numPr>
        <w:tabs>
          <w:tab w:val="clear" w:pos="708"/>
          <w:tab w:val="left" w:pos="1423" w:leader="none"/>
          <w:tab w:val="left" w:pos="1424" w:leader="none"/>
        </w:tabs>
        <w:spacing w:before="156" w:after="0"/>
        <w:contextualSpacing w:val="false"/>
        <w:jc w:val="both"/>
        <w:rPr/>
      </w:pPr>
      <w:r>
        <w:rPr/>
        <w:t>Nos casos de disponibilização de espaço (salas, auditório, refeitório, etc.), a CONTRATADA se responsabiliza pelo seu correto uso, pela sua conservação, inclusive recolhimento de material/ insumos e limpeza após o evento, ressarcindo os eventuais prejuízos causados por culpa da mesma.</w:t>
      </w:r>
    </w:p>
    <w:p>
      <w:pPr>
        <w:pStyle w:val="ListParagraph"/>
        <w:widowControl w:val="false"/>
        <w:numPr>
          <w:ilvl w:val="2"/>
          <w:numId w:val="2"/>
        </w:numPr>
        <w:tabs>
          <w:tab w:val="clear" w:pos="708"/>
          <w:tab w:val="left" w:pos="1423" w:leader="none"/>
          <w:tab w:val="left" w:pos="1424" w:leader="none"/>
        </w:tabs>
        <w:spacing w:before="156" w:after="0"/>
        <w:contextualSpacing w:val="false"/>
        <w:jc w:val="both"/>
        <w:rPr/>
      </w:pPr>
      <w:r>
        <w:rPr/>
        <w:t>Após o término do evento a CONTRATADA deve providenciar o recolhimento do material e a limpeza do ambiente.</w:t>
      </w:r>
    </w:p>
    <w:p>
      <w:pPr>
        <w:pStyle w:val="ListParagraph"/>
        <w:widowControl w:val="false"/>
        <w:numPr>
          <w:ilvl w:val="2"/>
          <w:numId w:val="2"/>
        </w:numPr>
        <w:tabs>
          <w:tab w:val="clear" w:pos="708"/>
          <w:tab w:val="left" w:pos="1423" w:leader="none"/>
          <w:tab w:val="left" w:pos="1424" w:leader="none"/>
        </w:tabs>
        <w:spacing w:before="156" w:after="0"/>
        <w:contextualSpacing w:val="false"/>
        <w:jc w:val="both"/>
        <w:rPr/>
      </w:pPr>
      <w:r>
        <w:rPr/>
        <w:t>Quando a BA ADM/CCOMGEX solicitar qualquer serviço de buffet, a CONTRATADA deve se responsabilizar pelas seguintes atividades, as quais já estão incluídas no preço do serviço, tais como:</w:t>
      </w:r>
    </w:p>
    <w:p>
      <w:pPr>
        <w:pStyle w:val="ListParagraph"/>
        <w:widowControl w:val="false"/>
        <w:numPr>
          <w:ilvl w:val="3"/>
          <w:numId w:val="2"/>
        </w:numPr>
        <w:tabs>
          <w:tab w:val="clear" w:pos="708"/>
          <w:tab w:val="left" w:pos="1423" w:leader="none"/>
          <w:tab w:val="left" w:pos="1424" w:leader="none"/>
        </w:tabs>
        <w:spacing w:before="156" w:after="0"/>
        <w:contextualSpacing w:val="false"/>
        <w:jc w:val="both"/>
        <w:rPr/>
      </w:pPr>
      <w:r>
        <w:rPr/>
        <w:t>arrumação adequada do ambiente;</w:t>
      </w:r>
    </w:p>
    <w:p>
      <w:pPr>
        <w:pStyle w:val="ListParagraph"/>
        <w:widowControl w:val="false"/>
        <w:numPr>
          <w:ilvl w:val="3"/>
          <w:numId w:val="2"/>
        </w:numPr>
        <w:tabs>
          <w:tab w:val="clear" w:pos="708"/>
          <w:tab w:val="left" w:pos="1423" w:leader="none"/>
          <w:tab w:val="left" w:pos="1424" w:leader="none"/>
        </w:tabs>
        <w:spacing w:before="156" w:after="0"/>
        <w:contextualSpacing w:val="false"/>
        <w:jc w:val="both"/>
        <w:rPr/>
      </w:pPr>
      <w:r>
        <w:rPr/>
        <w:t>disponibilização de mesa(s) para servir o buffet de tamanho proporcional à quantidade de alimentação servida;</w:t>
      </w:r>
    </w:p>
    <w:p>
      <w:pPr>
        <w:pStyle w:val="ListParagraph"/>
        <w:widowControl w:val="false"/>
        <w:numPr>
          <w:ilvl w:val="3"/>
          <w:numId w:val="2"/>
        </w:numPr>
        <w:tabs>
          <w:tab w:val="clear" w:pos="708"/>
          <w:tab w:val="left" w:pos="1423" w:leader="none"/>
          <w:tab w:val="left" w:pos="1424" w:leader="none"/>
        </w:tabs>
        <w:spacing w:before="156" w:after="0"/>
        <w:contextualSpacing w:val="false"/>
        <w:jc w:val="both"/>
        <w:rPr/>
      </w:pPr>
      <w:r>
        <w:rPr/>
        <w:t>disponibilizar todos materiais necessários à perfeita execução dos serviços;</w:t>
      </w:r>
    </w:p>
    <w:p>
      <w:pPr>
        <w:pStyle w:val="ListParagraph"/>
        <w:widowControl w:val="false"/>
        <w:numPr>
          <w:ilvl w:val="3"/>
          <w:numId w:val="2"/>
        </w:numPr>
        <w:tabs>
          <w:tab w:val="clear" w:pos="708"/>
          <w:tab w:val="left" w:pos="1423" w:leader="none"/>
          <w:tab w:val="left" w:pos="1424" w:leader="none"/>
        </w:tabs>
        <w:spacing w:before="156" w:after="0"/>
        <w:contextualSpacing w:val="false"/>
        <w:jc w:val="both"/>
        <w:rPr/>
      </w:pPr>
      <w:r>
        <w:rPr/>
        <w:t>diligenciar para que o buffet seja servido nos horários estabelecidos pela BA ADM/CCOMGEX e de acordo com o que foi solicitado, inclusive no que se refere ao cardápio;</w:t>
      </w:r>
    </w:p>
    <w:p>
      <w:pPr>
        <w:pStyle w:val="ListParagraph"/>
        <w:widowControl w:val="false"/>
        <w:numPr>
          <w:ilvl w:val="3"/>
          <w:numId w:val="2"/>
        </w:numPr>
        <w:tabs>
          <w:tab w:val="clear" w:pos="708"/>
          <w:tab w:val="left" w:pos="1423" w:leader="none"/>
          <w:tab w:val="left" w:pos="1424" w:leader="none"/>
        </w:tabs>
        <w:spacing w:before="156" w:after="0"/>
        <w:contextualSpacing w:val="false"/>
        <w:jc w:val="both"/>
        <w:rPr/>
      </w:pPr>
      <w:r>
        <w:rPr/>
        <w:t>orientar, coordenar, acompanhar, dar ordens ao contingente alocado, resolver quaisquer imprevistos, inclusive a correção de situações adversas, para o perfeito desenvolvimento das atividades, devendo o representante da empresa, estar munido de telefone celular;</w:t>
      </w:r>
    </w:p>
    <w:p>
      <w:pPr>
        <w:pStyle w:val="ListParagraph"/>
        <w:widowControl w:val="false"/>
        <w:numPr>
          <w:ilvl w:val="3"/>
          <w:numId w:val="2"/>
        </w:numPr>
        <w:tabs>
          <w:tab w:val="clear" w:pos="708"/>
          <w:tab w:val="left" w:pos="1423" w:leader="none"/>
          <w:tab w:val="left" w:pos="1424" w:leader="none"/>
        </w:tabs>
        <w:spacing w:lineRule="auto" w:line="276" w:before="156" w:after="0"/>
        <w:contextualSpacing w:val="false"/>
        <w:jc w:val="both"/>
        <w:rPr/>
      </w:pPr>
      <w:r>
        <w:rPr/>
        <w:t>informar quando da confirmação da realização dos serviços, o nome e telefone da pessoa responsável pelo atendimento da demanda;</w:t>
      </w:r>
    </w:p>
    <w:p>
      <w:pPr>
        <w:pStyle w:val="Nivel1"/>
        <w:numPr>
          <w:ilvl w:val="1"/>
          <w:numId w:val="2"/>
        </w:numPr>
        <w:spacing w:before="0" w:after="0"/>
        <w:rPr/>
      </w:pPr>
      <w:r>
        <w:rPr>
          <w:b w:val="false"/>
          <w:color w:val="000009"/>
        </w:rPr>
        <w:t>Além</w:t>
      </w:r>
      <w:r>
        <w:rPr>
          <w:b w:val="false"/>
          <w:color w:val="000009"/>
          <w:spacing w:val="1"/>
        </w:rPr>
        <w:t xml:space="preserve"> </w:t>
      </w:r>
      <w:r>
        <w:rPr>
          <w:b w:val="false"/>
          <w:color w:val="000009"/>
        </w:rPr>
        <w:t>dos</w:t>
      </w:r>
      <w:r>
        <w:rPr>
          <w:b w:val="false"/>
          <w:color w:val="000009"/>
          <w:spacing w:val="1"/>
        </w:rPr>
        <w:t xml:space="preserve"> </w:t>
      </w:r>
      <w:r>
        <w:rPr>
          <w:b w:val="false"/>
          <w:color w:val="000009"/>
        </w:rPr>
        <w:t>pontos</w:t>
      </w:r>
      <w:r>
        <w:rPr>
          <w:b w:val="false"/>
          <w:color w:val="000009"/>
          <w:spacing w:val="1"/>
        </w:rPr>
        <w:t xml:space="preserve"> </w:t>
      </w:r>
      <w:r>
        <w:rPr>
          <w:b w:val="false"/>
          <w:color w:val="000009"/>
        </w:rPr>
        <w:t>acima,</w:t>
      </w:r>
      <w:r>
        <w:rPr>
          <w:b w:val="false"/>
          <w:color w:val="000009"/>
          <w:spacing w:val="1"/>
        </w:rPr>
        <w:t xml:space="preserve"> </w:t>
      </w:r>
      <w:r>
        <w:rPr>
          <w:b w:val="false"/>
          <w:color w:val="000009"/>
        </w:rPr>
        <w:t>o</w:t>
      </w:r>
      <w:r>
        <w:rPr>
          <w:b w:val="false"/>
          <w:color w:val="000009"/>
          <w:spacing w:val="1"/>
        </w:rPr>
        <w:t xml:space="preserve"> </w:t>
      </w:r>
      <w:r>
        <w:rPr>
          <w:b w:val="false"/>
          <w:color w:val="000009"/>
        </w:rPr>
        <w:t>adjudicatário</w:t>
      </w:r>
      <w:r>
        <w:rPr>
          <w:b w:val="false"/>
          <w:color w:val="000009"/>
          <w:spacing w:val="1"/>
        </w:rPr>
        <w:t xml:space="preserve"> </w:t>
      </w:r>
      <w:r>
        <w:rPr>
          <w:b w:val="false"/>
          <w:color w:val="000009"/>
        </w:rPr>
        <w:t>deverá</w:t>
      </w:r>
      <w:r>
        <w:rPr>
          <w:b w:val="false"/>
          <w:color w:val="000009"/>
          <w:spacing w:val="1"/>
        </w:rPr>
        <w:t xml:space="preserve"> </w:t>
      </w:r>
      <w:r>
        <w:rPr>
          <w:b w:val="false"/>
          <w:color w:val="000009"/>
        </w:rPr>
        <w:t>apresentar</w:t>
      </w:r>
      <w:r>
        <w:rPr>
          <w:b w:val="false"/>
          <w:color w:val="000009"/>
          <w:spacing w:val="1"/>
        </w:rPr>
        <w:t xml:space="preserve"> </w:t>
      </w:r>
      <w:r>
        <w:rPr>
          <w:b w:val="false"/>
          <w:color w:val="000009"/>
        </w:rPr>
        <w:t>declaração</w:t>
      </w:r>
      <w:r>
        <w:rPr>
          <w:b w:val="false"/>
          <w:color w:val="000009"/>
          <w:spacing w:val="1"/>
        </w:rPr>
        <w:t xml:space="preserve"> </w:t>
      </w:r>
      <w:r>
        <w:rPr>
          <w:b w:val="false"/>
          <w:color w:val="000009"/>
        </w:rPr>
        <w:t>de</w:t>
      </w:r>
      <w:r>
        <w:rPr>
          <w:b w:val="false"/>
          <w:color w:val="000009"/>
          <w:spacing w:val="1"/>
        </w:rPr>
        <w:t xml:space="preserve"> </w:t>
      </w:r>
      <w:r>
        <w:rPr>
          <w:b w:val="false"/>
          <w:color w:val="000009"/>
        </w:rPr>
        <w:t>que</w:t>
      </w:r>
      <w:r>
        <w:rPr>
          <w:b w:val="false"/>
          <w:color w:val="000009"/>
          <w:spacing w:val="1"/>
        </w:rPr>
        <w:t xml:space="preserve"> </w:t>
      </w:r>
      <w:r>
        <w:rPr>
          <w:b w:val="false"/>
          <w:color w:val="000009"/>
        </w:rPr>
        <w:t>tem</w:t>
      </w:r>
      <w:r>
        <w:rPr>
          <w:b w:val="false"/>
          <w:color w:val="000009"/>
          <w:spacing w:val="1"/>
        </w:rPr>
        <w:t xml:space="preserve"> </w:t>
      </w:r>
      <w:r>
        <w:rPr>
          <w:b w:val="false"/>
          <w:color w:val="000009"/>
        </w:rPr>
        <w:t>pleno</w:t>
      </w:r>
      <w:r>
        <w:rPr>
          <w:b w:val="false"/>
          <w:color w:val="000009"/>
          <w:spacing w:val="1"/>
        </w:rPr>
        <w:t xml:space="preserve"> </w:t>
      </w:r>
      <w:r>
        <w:rPr>
          <w:b w:val="false"/>
          <w:color w:val="000009"/>
        </w:rPr>
        <w:t>conhecimento das</w:t>
      </w:r>
      <w:r>
        <w:rPr>
          <w:b w:val="false"/>
          <w:color w:val="000009"/>
          <w:spacing w:val="1"/>
        </w:rPr>
        <w:t xml:space="preserve"> </w:t>
      </w:r>
      <w:r>
        <w:rPr>
          <w:b w:val="false"/>
          <w:color w:val="000009"/>
        </w:rPr>
        <w:t>condições necessárias para a prestação do serviço como requisito para celebração do</w:t>
      </w:r>
      <w:r>
        <w:rPr>
          <w:b w:val="false"/>
          <w:color w:val="000009"/>
          <w:spacing w:val="1"/>
        </w:rPr>
        <w:t xml:space="preserve"> </w:t>
      </w:r>
      <w:r>
        <w:rPr>
          <w:b w:val="false"/>
          <w:color w:val="000009"/>
        </w:rPr>
        <w:t>contrato.</w:t>
      </w:r>
    </w:p>
    <w:p>
      <w:pPr>
        <w:pStyle w:val="Nivel1"/>
        <w:numPr>
          <w:ilvl w:val="0"/>
          <w:numId w:val="2"/>
        </w:numPr>
        <w:spacing w:before="480" w:after="240"/>
        <w:rPr/>
      </w:pPr>
      <w:r>
        <w:rPr>
          <w:spacing w:val="-1"/>
        </w:rPr>
        <w:t>CRITÉRIOS</w:t>
      </w:r>
      <w:r>
        <w:rPr>
          <w:spacing w:val="-9"/>
        </w:rPr>
        <w:t xml:space="preserve"> </w:t>
      </w:r>
      <w:r>
        <w:rPr/>
        <w:t>DE</w:t>
      </w:r>
      <w:r>
        <w:rPr>
          <w:spacing w:val="-10"/>
        </w:rPr>
        <w:t xml:space="preserve"> </w:t>
      </w:r>
      <w:r>
        <w:rPr/>
        <w:t>SUSTENTABILIDADE</w:t>
      </w:r>
    </w:p>
    <w:p>
      <w:pPr>
        <w:pStyle w:val="Nivel1"/>
        <w:numPr>
          <w:ilvl w:val="1"/>
          <w:numId w:val="2"/>
        </w:numPr>
        <w:spacing w:before="0" w:after="0"/>
        <w:rPr>
          <w:b w:val="false"/>
          <w:b w:val="false"/>
          <w:lang w:val="pt-PT"/>
        </w:rPr>
      </w:pPr>
      <w:r>
        <w:rPr>
          <w:b w:val="false"/>
          <w:lang w:val="pt-PT"/>
        </w:rPr>
        <w:t xml:space="preserve">Os serviços deverão respeitar as normas e os princípios ambientais, minimizando ou mitigando os efeitos dos danos ao meio ambiente, utilizando, sempre que possível e disponível, tecnologias e materiais ecologicamente corretos </w:t>
      </w:r>
    </w:p>
    <w:p>
      <w:pPr>
        <w:pStyle w:val="Nivel1"/>
        <w:spacing w:before="0" w:after="0"/>
        <w:ind w:left="716" w:right="0" w:hanging="0"/>
        <w:rPr>
          <w:rFonts w:cs="Arial"/>
          <w:b w:val="false"/>
          <w:b w:val="false"/>
        </w:rPr>
      </w:pPr>
      <w:r>
        <w:rPr>
          <w:rFonts w:cs="Arial"/>
          <w:b w:val="false"/>
        </w:rPr>
      </w:r>
    </w:p>
    <w:p>
      <w:pPr>
        <w:pStyle w:val="Nivel1"/>
        <w:numPr>
          <w:ilvl w:val="0"/>
          <w:numId w:val="2"/>
        </w:numPr>
        <w:spacing w:lineRule="auto" w:line="360" w:before="0" w:after="0"/>
        <w:rPr/>
      </w:pPr>
      <w:r>
        <w:rPr/>
        <w:t>VISTORIA PARA A LICITAÇÃO</w:t>
      </w:r>
    </w:p>
    <w:p>
      <w:pPr>
        <w:pStyle w:val="Nivel1"/>
        <w:numPr>
          <w:ilvl w:val="1"/>
          <w:numId w:val="2"/>
        </w:numPr>
        <w:spacing w:before="0" w:after="0"/>
        <w:rPr/>
      </w:pPr>
      <w:r>
        <w:rPr>
          <w:rFonts w:cs="Arial"/>
          <w:b w:val="false"/>
          <w:color w:val="auto"/>
        </w:rPr>
        <w:t xml:space="preserve">Para o correto dimensionamento e elaboração de sua proposta, o licitante </w:t>
      </w:r>
      <w:r>
        <w:rPr>
          <w:rFonts w:cs="Arial"/>
          <w:b w:val="false"/>
          <w:i/>
          <w:iCs/>
          <w:color w:val="auto"/>
        </w:rPr>
        <w:t xml:space="preserve">poderá </w:t>
      </w:r>
      <w:r>
        <w:rPr>
          <w:rFonts w:cs="Arial"/>
          <w:b w:val="false"/>
          <w:color w:val="auto"/>
        </w:rPr>
        <w:t>realizar vistoria nas instalações do local de execução dos serviços, acompanhado por militar designado para esse fim, de segunda à quinta-feira, das 10:00 horas às 16:30 horas e às sextas-feiras, de 8:30 horas às 11:30 horas, exceto feriados.</w:t>
      </w:r>
    </w:p>
    <w:p>
      <w:pPr>
        <w:pStyle w:val="Normal"/>
        <w:numPr>
          <w:ilvl w:val="1"/>
          <w:numId w:val="2"/>
        </w:numPr>
        <w:spacing w:lineRule="auto" w:line="276" w:before="120" w:after="120"/>
        <w:ind w:left="716" w:right="-15" w:hanging="432"/>
        <w:jc w:val="both"/>
        <w:rPr/>
      </w:pPr>
      <w:r>
        <w:rPr>
          <w:rFonts w:cs="Arial"/>
          <w:szCs w:val="20"/>
        </w:rPr>
        <w:t>O prazo para vistoria iniciar-se-á no dia útil seguinte ao da publicação do Edital, estendendo</w:t>
      </w:r>
      <w:r>
        <w:rPr>
          <w:rFonts w:cs="Arial"/>
          <w:iCs/>
          <w:szCs w:val="20"/>
        </w:rPr>
        <w:t>-se até o dia útil anterior à data prevista para a abertura da sessão pública.</w:t>
      </w:r>
    </w:p>
    <w:p>
      <w:pPr>
        <w:pStyle w:val="ListParagraph"/>
        <w:numPr>
          <w:ilvl w:val="2"/>
          <w:numId w:val="2"/>
        </w:numPr>
        <w:spacing w:lineRule="auto" w:line="276" w:before="120" w:after="120"/>
        <w:contextualSpacing/>
        <w:jc w:val="both"/>
        <w:rPr>
          <w:rFonts w:cs="Arial"/>
          <w:iCs/>
          <w:szCs w:val="20"/>
        </w:rPr>
      </w:pPr>
      <w:r>
        <w:rPr>
          <w:rFonts w:cs="Arial"/>
          <w:iCs/>
          <w:szCs w:val="20"/>
        </w:rPr>
        <w:t>Para a vistoria o licitante, ou o seu representante legal, deverá estar devidamente identificado, apresentando documento de identidade civil e documento expedido pela empresa comprovando sua habilitação para a realização da vistoria.</w:t>
      </w:r>
    </w:p>
    <w:p>
      <w:pPr>
        <w:pStyle w:val="ListParagraph"/>
        <w:spacing w:lineRule="auto" w:line="276" w:before="120" w:after="120"/>
        <w:ind w:left="1922" w:right="0" w:hanging="0"/>
        <w:contextualSpacing/>
        <w:jc w:val="both"/>
        <w:rPr>
          <w:rFonts w:cs="Arial"/>
          <w:i/>
          <w:i/>
          <w:color w:val="FF0000"/>
          <w:szCs w:val="20"/>
        </w:rPr>
      </w:pPr>
      <w:r>
        <w:rPr>
          <w:rFonts w:cs="Arial"/>
          <w:i/>
          <w:color w:val="FF0000"/>
          <w:szCs w:val="20"/>
        </w:rPr>
      </w:r>
    </w:p>
    <w:p>
      <w:pPr>
        <w:pStyle w:val="ListParagraph"/>
        <w:numPr>
          <w:ilvl w:val="1"/>
          <w:numId w:val="2"/>
        </w:numPr>
        <w:spacing w:lineRule="auto" w:line="276" w:before="120" w:after="120"/>
        <w:contextualSpacing/>
        <w:jc w:val="both"/>
        <w:rPr>
          <w:rFonts w:cs="Arial"/>
          <w:iCs/>
          <w:szCs w:val="20"/>
        </w:rPr>
      </w:pPr>
      <w:r>
        <w:rPr>
          <w:rFonts w:cs="Arial"/>
          <w:iCs/>
          <w:szCs w:val="20"/>
        </w:rPr>
        <w:t>A não realização da vistoria, quando facultativa, não poderá embasar posteriores alegações de desconhecimento das instalações, dúvidas ou esquecimentos de quaisquer detalhes dos locais da prestação dos serviços, devendo a licitante vencedora assumir os ônus dos serviços decorrentes.</w:t>
      </w:r>
    </w:p>
    <w:p>
      <w:pPr>
        <w:pStyle w:val="ListParagraph"/>
        <w:rPr>
          <w:rFonts w:cs="Arial"/>
          <w:strike/>
          <w:color w:val="FF0000"/>
          <w:szCs w:val="20"/>
        </w:rPr>
      </w:pPr>
      <w:r>
        <w:rPr>
          <w:rFonts w:cs="Arial"/>
          <w:strike/>
          <w:color w:val="FF0000"/>
          <w:szCs w:val="20"/>
        </w:rPr>
      </w:r>
    </w:p>
    <w:p>
      <w:pPr>
        <w:pStyle w:val="ListParagraph"/>
        <w:numPr>
          <w:ilvl w:val="1"/>
          <w:numId w:val="2"/>
        </w:numPr>
        <w:spacing w:lineRule="auto" w:line="276" w:before="120" w:after="120"/>
        <w:contextualSpacing/>
        <w:jc w:val="both"/>
        <w:rPr>
          <w:rFonts w:cs="Arial"/>
          <w:iCs/>
          <w:szCs w:val="20"/>
        </w:rPr>
      </w:pPr>
      <w:r>
        <w:rPr>
          <w:rFonts w:cs="Arial"/>
          <w:iCs/>
          <w:szCs w:val="20"/>
        </w:rPr>
        <w:t>A licitante deverá declarar que tomou conhecimento de todas as informações e das condições locais para o cumprimento das obrigações objeto da licitação.</w:t>
      </w:r>
    </w:p>
    <w:p>
      <w:pPr>
        <w:pStyle w:val="Nivel1"/>
        <w:numPr>
          <w:ilvl w:val="0"/>
          <w:numId w:val="2"/>
        </w:numPr>
        <w:rPr>
          <w:rFonts w:cs="Arial"/>
        </w:rPr>
      </w:pPr>
      <w:r>
        <w:rPr>
          <w:rFonts w:cs="Arial"/>
        </w:rPr>
        <w:t>MODELO DE EXECUÇÃO DO OBJETO</w:t>
      </w:r>
    </w:p>
    <w:p>
      <w:pPr>
        <w:pStyle w:val="Normal"/>
        <w:suppressAutoHyphens w:val="true"/>
        <w:spacing w:before="0" w:after="120"/>
        <w:ind w:left="716" w:right="0" w:hanging="0"/>
        <w:jc w:val="both"/>
        <w:rPr>
          <w:rFonts w:cs="Arial"/>
          <w:szCs w:val="20"/>
        </w:rPr>
      </w:pPr>
      <w:r>
        <w:rPr>
          <w:rFonts w:cs="Arial"/>
          <w:szCs w:val="20"/>
        </w:rPr>
      </w:r>
    </w:p>
    <w:p>
      <w:pPr>
        <w:pStyle w:val="Normal"/>
        <w:numPr>
          <w:ilvl w:val="1"/>
          <w:numId w:val="2"/>
        </w:numPr>
        <w:suppressAutoHyphens w:val="true"/>
        <w:spacing w:before="0" w:after="120"/>
        <w:jc w:val="both"/>
        <w:rPr>
          <w:rFonts w:cs="Arial"/>
          <w:szCs w:val="20"/>
        </w:rPr>
      </w:pPr>
      <w:r>
        <w:rPr>
          <w:rFonts w:cs="Arial"/>
          <w:szCs w:val="20"/>
        </w:rPr>
        <w:t>A execução do objeto seguirá a seguinte dinâmica:</w:t>
      </w:r>
    </w:p>
    <w:p>
      <w:pPr>
        <w:pStyle w:val="Normal"/>
        <w:numPr>
          <w:ilvl w:val="2"/>
          <w:numId w:val="2"/>
        </w:numPr>
        <w:suppressAutoHyphens w:val="true"/>
        <w:spacing w:before="0" w:after="120"/>
        <w:jc w:val="both"/>
        <w:rPr/>
      </w:pPr>
      <w:r>
        <w:rPr>
          <w:rFonts w:cs="Arial"/>
          <w:color w:val="000000"/>
          <w:szCs w:val="20"/>
        </w:rPr>
        <w:t xml:space="preserve"> </w:t>
      </w:r>
      <w:r>
        <w:rPr>
          <w:rFonts w:cs="Arial"/>
          <w:color w:val="000000"/>
          <w:szCs w:val="20"/>
        </w:rPr>
        <w:t>A execução dos serviços será iniciad</w:t>
      </w:r>
      <w:r>
        <w:rPr>
          <w:rFonts w:cs="Arial"/>
          <w:szCs w:val="20"/>
        </w:rPr>
        <w:t>a conforme aviso prévio da Administração em até 06 (seis) dias antes do evento, para elaboração do cardápio e aprovação pela Base Administrativa do Comando de Comunicações e Guerra Eletrônica do Exército</w:t>
      </w:r>
      <w:r>
        <w:rPr>
          <w:rFonts w:cs="Arial"/>
          <w:color w:val="000000"/>
          <w:szCs w:val="20"/>
        </w:rPr>
        <w:t>, na forma que segue:</w:t>
      </w:r>
    </w:p>
    <w:p>
      <w:pPr>
        <w:pStyle w:val="ListParagraph"/>
        <w:numPr>
          <w:ilvl w:val="3"/>
          <w:numId w:val="2"/>
        </w:numPr>
        <w:suppressAutoHyphens w:val="true"/>
        <w:spacing w:before="0" w:after="120"/>
        <w:contextualSpacing/>
        <w:jc w:val="both"/>
        <w:rPr/>
      </w:pPr>
      <w:r>
        <w:rPr>
          <w:rFonts w:cs="Arial"/>
          <w:szCs w:val="20"/>
        </w:rPr>
        <w:t>Os serviços deverão ser iniciados pela empresa contratada, após o recebimento da nota de empenho e contato prévio via e-mail ou telefonema para agendamento do serviço (sete dias de antecedência), devendo ser entregues provisoriamente e impreterivelmente, 48 (quarenta e oito) horas úteis antes, da data e hora prevista para início dos eventos, para análise da</w:t>
      </w:r>
      <w:r>
        <w:rPr>
          <w:rFonts w:cs="Arial"/>
          <w:spacing w:val="-12"/>
          <w:szCs w:val="20"/>
        </w:rPr>
        <w:t xml:space="preserve"> </w:t>
      </w:r>
      <w:r>
        <w:rPr>
          <w:rFonts w:cs="Arial"/>
          <w:szCs w:val="20"/>
        </w:rPr>
        <w:t>Administração;</w:t>
      </w:r>
    </w:p>
    <w:p>
      <w:pPr>
        <w:pStyle w:val="ListParagraph"/>
        <w:numPr>
          <w:ilvl w:val="3"/>
          <w:numId w:val="2"/>
        </w:numPr>
        <w:suppressAutoHyphens w:val="true"/>
        <w:spacing w:before="0" w:after="120"/>
        <w:contextualSpacing/>
        <w:jc w:val="both"/>
        <w:rPr/>
      </w:pPr>
      <w:r>
        <w:rPr>
          <w:rFonts w:cs="Arial"/>
          <w:szCs w:val="20"/>
        </w:rPr>
        <w:t>Efetuar a execução do objeto em perfeitas condições, conforme especificações, prazo e local constantes no Edital e seus anexos, acompanhado da respectiva nota</w:t>
      </w:r>
      <w:r>
        <w:rPr>
          <w:rFonts w:cs="Arial"/>
          <w:spacing w:val="-24"/>
          <w:szCs w:val="20"/>
        </w:rPr>
        <w:t xml:space="preserve"> </w:t>
      </w:r>
      <w:r>
        <w:rPr>
          <w:rFonts w:cs="Arial"/>
          <w:szCs w:val="20"/>
        </w:rPr>
        <w:t>fiscal.</w:t>
      </w:r>
    </w:p>
    <w:p>
      <w:pPr>
        <w:pStyle w:val="ListParagraph"/>
        <w:numPr>
          <w:ilvl w:val="3"/>
          <w:numId w:val="2"/>
        </w:numPr>
        <w:suppressAutoHyphens w:val="true"/>
        <w:spacing w:before="0" w:after="120"/>
        <w:contextualSpacing/>
        <w:jc w:val="both"/>
        <w:rPr>
          <w:rFonts w:cs="Arial"/>
          <w:szCs w:val="20"/>
        </w:rPr>
      </w:pPr>
      <w:r>
        <w:rPr>
          <w:rFonts w:cs="Arial"/>
          <w:szCs w:val="20"/>
        </w:rPr>
        <w:t>Ao final da elaboração do serviço, o mesmo deverá ser entregue ao fiscal de contrato para recebimento permanente que será realizado no prazo máximo de 24 (vinte e quatro) horas.</w:t>
      </w:r>
    </w:p>
    <w:p>
      <w:pPr>
        <w:pStyle w:val="ListParagraph"/>
        <w:numPr>
          <w:ilvl w:val="3"/>
          <w:numId w:val="2"/>
        </w:numPr>
        <w:suppressAutoHyphens w:val="true"/>
        <w:spacing w:before="0" w:after="120"/>
        <w:contextualSpacing/>
        <w:jc w:val="both"/>
        <w:rPr>
          <w:rFonts w:cs="Arial"/>
          <w:szCs w:val="20"/>
        </w:rPr>
      </w:pPr>
      <w:r>
        <w:rPr>
          <w:rFonts w:cs="Arial"/>
          <w:szCs w:val="20"/>
        </w:rPr>
        <w:t>Os horários de trabalho serão agendados previamente (cinco dias de antecedência) pela contratante junto à contratada, porém, em casos de ultrapassar os horários de expediente administrativo do Forte, a mesma fica responsável por informar ao Fiscal de Contrato, o NOME COMPLETO e IDENTIDADE de cada funcionário que for necessário permanecer na unidade, com antecedência mínima de 1 (uma) hora antes do término do expediente.</w:t>
      </w:r>
    </w:p>
    <w:p>
      <w:pPr>
        <w:pStyle w:val="Nivel1"/>
        <w:numPr>
          <w:ilvl w:val="0"/>
          <w:numId w:val="2"/>
        </w:numPr>
        <w:rPr>
          <w:rFonts w:cs="Arial"/>
          <w:color w:val="auto"/>
        </w:rPr>
      </w:pPr>
      <w:r>
        <w:rPr>
          <w:rFonts w:cs="Arial"/>
          <w:color w:val="auto"/>
        </w:rPr>
        <w:t>MATERIAIS A SEREM DISPONIBILIZADOS</w:t>
      </w:r>
    </w:p>
    <w:p>
      <w:pPr>
        <w:pStyle w:val="Normal"/>
        <w:numPr>
          <w:ilvl w:val="1"/>
          <w:numId w:val="2"/>
        </w:numPr>
        <w:spacing w:lineRule="auto" w:line="276" w:before="120" w:after="120"/>
        <w:ind w:left="425" w:right="0" w:hanging="0"/>
        <w:jc w:val="both"/>
        <w:rPr>
          <w:rFonts w:cs="Arial"/>
          <w:bCs/>
          <w:szCs w:val="20"/>
        </w:rPr>
      </w:pPr>
      <w:r>
        <w:rPr>
          <w:rFonts w:cs="Arial"/>
          <w:bCs/>
          <w:szCs w:val="20"/>
        </w:rPr>
        <w:t>Para a perfeita execução dos serviços, a Contratada deverá disponibilizar os materiais, equipamentos, ferramentas e utensílios necessários, nas quantidades estimadas e qualidades a seguir estabelecidas, promovendo sua substituição quando necessário:</w:t>
      </w:r>
    </w:p>
    <w:p>
      <w:pPr>
        <w:pStyle w:val="ListParagraph"/>
        <w:numPr>
          <w:ilvl w:val="2"/>
          <w:numId w:val="2"/>
        </w:numPr>
        <w:spacing w:lineRule="auto" w:line="276" w:before="120" w:after="120"/>
        <w:ind w:left="1134" w:right="0" w:hanging="0"/>
        <w:contextualSpacing w:val="false"/>
        <w:jc w:val="both"/>
        <w:rPr/>
      </w:pPr>
      <w:r>
        <w:rPr>
          <w:rFonts w:cs="Arial"/>
          <w:bCs/>
          <w:szCs w:val="20"/>
        </w:rPr>
        <w:t xml:space="preserve">Os </w:t>
      </w:r>
      <w:r>
        <w:rPr>
          <w:rFonts w:cs="Arial"/>
          <w:bCs/>
          <w:color w:val="000000"/>
          <w:szCs w:val="20"/>
        </w:rPr>
        <w:t>materiais a serem utilizados para cada tipo de serviço são: réchauds, samouvar para mesa de café, sousplat em inox, pratos, talheres, taças, tulipas, copos, guardanapos de pano, xícaras pires, colherzinha para café, bandejas e demais materiais para boa apresentação da refeição, tudo de primeira linha, para café da manhã e coffee break.</w:t>
      </w:r>
    </w:p>
    <w:p>
      <w:pPr>
        <w:pStyle w:val="ListParagraph"/>
        <w:numPr>
          <w:ilvl w:val="1"/>
          <w:numId w:val="2"/>
        </w:numPr>
        <w:spacing w:lineRule="auto" w:line="276" w:before="120" w:after="120"/>
        <w:contextualSpacing/>
        <w:jc w:val="both"/>
        <w:rPr/>
      </w:pPr>
      <w:r>
        <w:rPr>
          <w:rFonts w:cs="Arial"/>
          <w:bCs/>
          <w:szCs w:val="20"/>
        </w:rPr>
        <w:t>A con</w:t>
      </w:r>
      <w:r>
        <w:rPr>
          <w:rFonts w:cs="Arial"/>
          <w:bCs/>
          <w:color w:val="000000"/>
          <w:szCs w:val="20"/>
        </w:rPr>
        <w:t>tratada, quando na execução do serviço, deverá obrigatoriamente:</w:t>
      </w:r>
    </w:p>
    <w:p>
      <w:pPr>
        <w:pStyle w:val="ListParagraph"/>
        <w:numPr>
          <w:ilvl w:val="2"/>
          <w:numId w:val="2"/>
        </w:numPr>
        <w:spacing w:lineRule="auto" w:line="276" w:before="120" w:after="120"/>
        <w:contextualSpacing/>
        <w:jc w:val="both"/>
        <w:rPr/>
      </w:pPr>
      <w:r>
        <w:rPr>
          <w:rFonts w:cs="Arial"/>
          <w:bCs/>
          <w:color w:val="000000"/>
          <w:szCs w:val="20"/>
        </w:rPr>
        <w:t xml:space="preserve"> </w:t>
      </w:r>
      <w:r>
        <w:rPr>
          <w:rFonts w:cs="Arial"/>
          <w:bCs/>
          <w:color w:val="000000"/>
          <w:szCs w:val="20"/>
        </w:rPr>
        <w:t xml:space="preserve">Empregar </w:t>
      </w:r>
      <w:r>
        <w:rPr>
          <w:rFonts w:cs="Arial"/>
          <w:szCs w:val="20"/>
        </w:rPr>
        <w:t xml:space="preserve">material de 1ª qualidade e dentro das especificações dos objetos descritos </w:t>
      </w:r>
      <w:r>
        <w:rPr>
          <w:rFonts w:cs="Arial"/>
          <w:color w:val="000000"/>
          <w:szCs w:val="20"/>
        </w:rPr>
        <w:t xml:space="preserve">no subitem 9.1.1, </w:t>
      </w:r>
      <w:r>
        <w:rPr>
          <w:rFonts w:cs="Arial"/>
          <w:szCs w:val="20"/>
        </w:rPr>
        <w:t>sendo que qualquer substituição por similar deverá ser precedida de análise e aprovação por parte da Administração da</w:t>
      </w:r>
      <w:r>
        <w:rPr>
          <w:rFonts w:cs="Arial"/>
          <w:spacing w:val="-16"/>
          <w:szCs w:val="20"/>
        </w:rPr>
        <w:t xml:space="preserve"> </w:t>
      </w:r>
      <w:r>
        <w:rPr>
          <w:rFonts w:cs="Arial"/>
          <w:szCs w:val="20"/>
        </w:rPr>
        <w:t>Base Administrativa do Comando de Comunicações e Guerra Eletrônica do Exército;</w:t>
      </w:r>
    </w:p>
    <w:p>
      <w:pPr>
        <w:pStyle w:val="Nivel1"/>
        <w:numPr>
          <w:ilvl w:val="0"/>
          <w:numId w:val="2"/>
        </w:numPr>
        <w:spacing w:before="480" w:after="240"/>
        <w:rPr/>
      </w:pPr>
      <w:r>
        <w:rPr>
          <w:spacing w:val="-1"/>
        </w:rPr>
        <w:t>INFORMAÇÕES</w:t>
      </w:r>
      <w:r>
        <w:rPr>
          <w:spacing w:val="-11"/>
        </w:rPr>
        <w:t xml:space="preserve"> </w:t>
      </w:r>
      <w:r>
        <w:rPr/>
        <w:t>RELEVANTES</w:t>
      </w:r>
      <w:r>
        <w:rPr>
          <w:spacing w:val="-10"/>
        </w:rPr>
        <w:t xml:space="preserve"> </w:t>
      </w:r>
      <w:r>
        <w:rPr/>
        <w:t>PARA</w:t>
      </w:r>
      <w:r>
        <w:rPr>
          <w:spacing w:val="-11"/>
        </w:rPr>
        <w:t xml:space="preserve"> </w:t>
      </w:r>
      <w:r>
        <w:rPr/>
        <w:t>O</w:t>
      </w:r>
      <w:r>
        <w:rPr>
          <w:spacing w:val="-11"/>
        </w:rPr>
        <w:t xml:space="preserve"> </w:t>
      </w:r>
      <w:r>
        <w:rPr/>
        <w:t>DIMENSIONAMENTO</w:t>
      </w:r>
      <w:r>
        <w:rPr>
          <w:spacing w:val="-11"/>
        </w:rPr>
        <w:t xml:space="preserve"> </w:t>
      </w:r>
      <w:r>
        <w:rPr/>
        <w:t>DA</w:t>
      </w:r>
      <w:r>
        <w:rPr>
          <w:spacing w:val="-11"/>
        </w:rPr>
        <w:t xml:space="preserve"> </w:t>
      </w:r>
      <w:r>
        <w:rPr/>
        <w:t>PROPOSTA</w:t>
      </w:r>
    </w:p>
    <w:p>
      <w:pPr>
        <w:pStyle w:val="Nivel1"/>
        <w:numPr>
          <w:ilvl w:val="1"/>
          <w:numId w:val="2"/>
        </w:numPr>
        <w:spacing w:before="0" w:after="0"/>
        <w:rPr/>
      </w:pPr>
      <w:r>
        <w:rPr>
          <w:b w:val="false"/>
        </w:rPr>
        <w:t>A</w:t>
      </w:r>
      <w:r>
        <w:rPr>
          <w:b w:val="false"/>
          <w:spacing w:val="-6"/>
        </w:rPr>
        <w:t xml:space="preserve"> </w:t>
      </w:r>
      <w:r>
        <w:rPr>
          <w:b w:val="false"/>
        </w:rPr>
        <w:t>demanda</w:t>
      </w:r>
      <w:r>
        <w:rPr>
          <w:b w:val="false"/>
          <w:spacing w:val="-6"/>
        </w:rPr>
        <w:t xml:space="preserve"> </w:t>
      </w:r>
      <w:r>
        <w:rPr>
          <w:b w:val="false"/>
        </w:rPr>
        <w:t>do</w:t>
      </w:r>
      <w:r>
        <w:rPr>
          <w:b w:val="false"/>
          <w:spacing w:val="-6"/>
        </w:rPr>
        <w:t xml:space="preserve"> </w:t>
      </w:r>
      <w:r>
        <w:rPr>
          <w:b w:val="false"/>
        </w:rPr>
        <w:t>órgão</w:t>
      </w:r>
      <w:r>
        <w:rPr>
          <w:b w:val="false"/>
          <w:spacing w:val="-6"/>
        </w:rPr>
        <w:t xml:space="preserve"> </w:t>
      </w:r>
      <w:r>
        <w:rPr>
          <w:b w:val="false"/>
        </w:rPr>
        <w:t>tem</w:t>
      </w:r>
      <w:r>
        <w:rPr>
          <w:b w:val="false"/>
          <w:spacing w:val="-5"/>
        </w:rPr>
        <w:t xml:space="preserve"> </w:t>
      </w:r>
      <w:r>
        <w:rPr>
          <w:b w:val="false"/>
        </w:rPr>
        <w:t>como</w:t>
      </w:r>
      <w:r>
        <w:rPr>
          <w:b w:val="false"/>
          <w:spacing w:val="-5"/>
        </w:rPr>
        <w:t xml:space="preserve"> </w:t>
      </w:r>
      <w:r>
        <w:rPr>
          <w:b w:val="false"/>
        </w:rPr>
        <w:t>base</w:t>
      </w:r>
      <w:r>
        <w:rPr>
          <w:b w:val="false"/>
          <w:spacing w:val="-5"/>
        </w:rPr>
        <w:t xml:space="preserve"> </w:t>
      </w:r>
      <w:r>
        <w:rPr>
          <w:b w:val="false"/>
        </w:rPr>
        <w:t>as</w:t>
      </w:r>
      <w:r>
        <w:rPr>
          <w:b w:val="false"/>
          <w:spacing w:val="-7"/>
        </w:rPr>
        <w:t xml:space="preserve"> </w:t>
      </w:r>
      <w:r>
        <w:rPr>
          <w:b w:val="false"/>
        </w:rPr>
        <w:t>seguintes</w:t>
      </w:r>
      <w:r>
        <w:rPr>
          <w:b w:val="false"/>
          <w:spacing w:val="-5"/>
        </w:rPr>
        <w:t xml:space="preserve"> </w:t>
      </w:r>
      <w:r>
        <w:rPr>
          <w:b w:val="false"/>
        </w:rPr>
        <w:t>características:</w:t>
      </w:r>
    </w:p>
    <w:p>
      <w:pPr>
        <w:pStyle w:val="ListParagraph"/>
        <w:widowControl w:val="false"/>
        <w:numPr>
          <w:ilvl w:val="2"/>
          <w:numId w:val="2"/>
        </w:numPr>
        <w:tabs>
          <w:tab w:val="clear" w:pos="708"/>
          <w:tab w:val="left" w:pos="856" w:leader="none"/>
        </w:tabs>
        <w:spacing w:before="156" w:after="0"/>
        <w:contextualSpacing w:val="false"/>
        <w:jc w:val="both"/>
        <w:rPr/>
      </w:pPr>
      <w:r>
        <w:rPr/>
        <w:t>Serviço</w:t>
      </w:r>
      <w:r>
        <w:rPr>
          <w:spacing w:val="-8"/>
        </w:rPr>
        <w:t xml:space="preserve"> </w:t>
      </w:r>
      <w:r>
        <w:rPr/>
        <w:t>direcionado</w:t>
      </w:r>
      <w:r>
        <w:rPr>
          <w:spacing w:val="-8"/>
        </w:rPr>
        <w:t xml:space="preserve"> </w:t>
      </w:r>
      <w:r>
        <w:rPr/>
        <w:t>as</w:t>
      </w:r>
      <w:r>
        <w:rPr>
          <w:spacing w:val="-7"/>
        </w:rPr>
        <w:t xml:space="preserve"> </w:t>
      </w:r>
      <w:r>
        <w:rPr/>
        <w:t>autoridades</w:t>
      </w:r>
      <w:r>
        <w:rPr>
          <w:spacing w:val="-7"/>
        </w:rPr>
        <w:t xml:space="preserve"> </w:t>
      </w:r>
      <w:r>
        <w:rPr/>
        <w:t>militares e civis nacionais ou estrangeiras;</w:t>
      </w:r>
    </w:p>
    <w:p>
      <w:pPr>
        <w:pStyle w:val="ListParagraph"/>
        <w:widowControl w:val="false"/>
        <w:numPr>
          <w:ilvl w:val="2"/>
          <w:numId w:val="2"/>
        </w:numPr>
        <w:tabs>
          <w:tab w:val="clear" w:pos="708"/>
          <w:tab w:val="left" w:pos="856" w:leader="none"/>
        </w:tabs>
        <w:spacing w:before="0" w:after="0"/>
        <w:contextualSpacing w:val="false"/>
        <w:jc w:val="both"/>
        <w:rPr/>
      </w:pPr>
      <w:r>
        <w:rPr/>
        <w:t>Todo</w:t>
      </w:r>
      <w:r>
        <w:rPr>
          <w:spacing w:val="-6"/>
        </w:rPr>
        <w:t xml:space="preserve"> </w:t>
      </w:r>
      <w:r>
        <w:rPr/>
        <w:t>material</w:t>
      </w:r>
      <w:r>
        <w:rPr>
          <w:spacing w:val="-5"/>
        </w:rPr>
        <w:t xml:space="preserve"> </w:t>
      </w:r>
      <w:r>
        <w:rPr/>
        <w:t>deve</w:t>
      </w:r>
      <w:r>
        <w:rPr>
          <w:spacing w:val="-7"/>
        </w:rPr>
        <w:t xml:space="preserve"> </w:t>
      </w:r>
      <w:r>
        <w:rPr/>
        <w:t>ser</w:t>
      </w:r>
      <w:r>
        <w:rPr>
          <w:spacing w:val="-7"/>
        </w:rPr>
        <w:t xml:space="preserve"> </w:t>
      </w:r>
      <w:r>
        <w:rPr/>
        <w:t>de</w:t>
      </w:r>
      <w:r>
        <w:rPr>
          <w:spacing w:val="-6"/>
        </w:rPr>
        <w:t xml:space="preserve"> </w:t>
      </w:r>
      <w:r>
        <w:rPr/>
        <w:t>1ª</w:t>
      </w:r>
      <w:r>
        <w:rPr>
          <w:spacing w:val="-6"/>
        </w:rPr>
        <w:t xml:space="preserve"> </w:t>
      </w:r>
      <w:r>
        <w:rPr/>
        <w:t>qualidade,</w:t>
      </w:r>
      <w:r>
        <w:rPr>
          <w:spacing w:val="-5"/>
        </w:rPr>
        <w:t xml:space="preserve"> </w:t>
      </w:r>
      <w:r>
        <w:rPr/>
        <w:t>estar</w:t>
      </w:r>
      <w:r>
        <w:rPr>
          <w:spacing w:val="-5"/>
        </w:rPr>
        <w:t xml:space="preserve"> </w:t>
      </w:r>
      <w:r>
        <w:rPr/>
        <w:t>em</w:t>
      </w:r>
      <w:r>
        <w:rPr>
          <w:spacing w:val="-8"/>
        </w:rPr>
        <w:t xml:space="preserve"> </w:t>
      </w:r>
      <w:r>
        <w:rPr/>
        <w:t>excelentes</w:t>
      </w:r>
      <w:r>
        <w:rPr>
          <w:spacing w:val="-5"/>
        </w:rPr>
        <w:t xml:space="preserve"> </w:t>
      </w:r>
      <w:r>
        <w:rPr/>
        <w:t>condições</w:t>
      </w:r>
      <w:r>
        <w:rPr>
          <w:spacing w:val="-7"/>
        </w:rPr>
        <w:t xml:space="preserve"> </w:t>
      </w:r>
      <w:r>
        <w:rPr/>
        <w:t>de</w:t>
      </w:r>
      <w:r>
        <w:rPr>
          <w:spacing w:val="-6"/>
        </w:rPr>
        <w:t xml:space="preserve"> </w:t>
      </w:r>
      <w:r>
        <w:rPr/>
        <w:t>uso</w:t>
      </w:r>
      <w:r>
        <w:rPr>
          <w:spacing w:val="-7"/>
        </w:rPr>
        <w:t xml:space="preserve"> </w:t>
      </w:r>
      <w:r>
        <w:rPr/>
        <w:t>e</w:t>
      </w:r>
      <w:r>
        <w:rPr>
          <w:spacing w:val="-6"/>
        </w:rPr>
        <w:t xml:space="preserve"> </w:t>
      </w:r>
      <w:r>
        <w:rPr/>
        <w:t>sem</w:t>
      </w:r>
      <w:r>
        <w:rPr>
          <w:spacing w:val="-5"/>
        </w:rPr>
        <w:t xml:space="preserve"> </w:t>
      </w:r>
      <w:r>
        <w:rPr/>
        <w:t>defeitos;</w:t>
      </w:r>
    </w:p>
    <w:p>
      <w:pPr>
        <w:pStyle w:val="ListParagraph"/>
        <w:widowControl w:val="false"/>
        <w:numPr>
          <w:ilvl w:val="2"/>
          <w:numId w:val="2"/>
        </w:numPr>
        <w:tabs>
          <w:tab w:val="clear" w:pos="708"/>
          <w:tab w:val="left" w:pos="856" w:leader="none"/>
        </w:tabs>
        <w:spacing w:lineRule="auto" w:line="276" w:before="0" w:after="0"/>
        <w:ind w:left="1781" w:right="805" w:hanging="504"/>
        <w:contextualSpacing w:val="false"/>
        <w:jc w:val="both"/>
        <w:rPr/>
      </w:pPr>
      <w:r>
        <w:rPr/>
        <w:t>Os</w:t>
      </w:r>
      <w:r>
        <w:rPr>
          <w:spacing w:val="1"/>
        </w:rPr>
        <w:t xml:space="preserve"> </w:t>
      </w:r>
      <w:r>
        <w:rPr/>
        <w:t>materiais</w:t>
      </w:r>
      <w:r>
        <w:rPr>
          <w:spacing w:val="1"/>
        </w:rPr>
        <w:t xml:space="preserve"> </w:t>
      </w:r>
      <w:r>
        <w:rPr/>
        <w:t>para fritura,</w:t>
      </w:r>
      <w:r>
        <w:rPr>
          <w:spacing w:val="1"/>
        </w:rPr>
        <w:t xml:space="preserve"> </w:t>
      </w:r>
      <w:r>
        <w:rPr/>
        <w:t>acondicionamento, botijão</w:t>
      </w:r>
      <w:r>
        <w:rPr>
          <w:spacing w:val="1"/>
        </w:rPr>
        <w:t xml:space="preserve"> </w:t>
      </w:r>
      <w:r>
        <w:rPr/>
        <w:t>de</w:t>
      </w:r>
      <w:r>
        <w:rPr>
          <w:spacing w:val="1"/>
        </w:rPr>
        <w:t xml:space="preserve"> </w:t>
      </w:r>
      <w:r>
        <w:rPr/>
        <w:t>gás,</w:t>
      </w:r>
      <w:r>
        <w:rPr>
          <w:spacing w:val="1"/>
        </w:rPr>
        <w:t xml:space="preserve"> </w:t>
      </w:r>
      <w:r>
        <w:rPr/>
        <w:t>geladeira/freezer/caixa</w:t>
      </w:r>
      <w:r>
        <w:rPr>
          <w:spacing w:val="1"/>
        </w:rPr>
        <w:t xml:space="preserve"> </w:t>
      </w:r>
      <w:r>
        <w:rPr/>
        <w:t>térmica</w:t>
      </w:r>
      <w:r>
        <w:rPr>
          <w:spacing w:val="1"/>
        </w:rPr>
        <w:t xml:space="preserve"> </w:t>
      </w:r>
      <w:r>
        <w:rPr/>
        <w:t>entre</w:t>
      </w:r>
      <w:r>
        <w:rPr>
          <w:spacing w:val="-43"/>
        </w:rPr>
        <w:t xml:space="preserve"> </w:t>
      </w:r>
      <w:r>
        <w:rPr/>
        <w:t>outros</w:t>
      </w:r>
      <w:r>
        <w:rPr>
          <w:spacing w:val="-1"/>
        </w:rPr>
        <w:t xml:space="preserve"> </w:t>
      </w:r>
      <w:r>
        <w:rPr/>
        <w:t>que</w:t>
      </w:r>
      <w:r>
        <w:rPr>
          <w:spacing w:val="-2"/>
        </w:rPr>
        <w:t xml:space="preserve"> </w:t>
      </w:r>
      <w:r>
        <w:rPr/>
        <w:t>são</w:t>
      </w:r>
      <w:r>
        <w:rPr>
          <w:spacing w:val="-2"/>
        </w:rPr>
        <w:t xml:space="preserve"> </w:t>
      </w:r>
      <w:r>
        <w:rPr/>
        <w:t>necessários</w:t>
      </w:r>
      <w:r>
        <w:rPr>
          <w:spacing w:val="-1"/>
        </w:rPr>
        <w:t xml:space="preserve"> </w:t>
      </w:r>
      <w:r>
        <w:rPr/>
        <w:t>a</w:t>
      </w:r>
      <w:r>
        <w:rPr>
          <w:spacing w:val="-3"/>
        </w:rPr>
        <w:t xml:space="preserve"> </w:t>
      </w:r>
      <w:r>
        <w:rPr/>
        <w:t>execução</w:t>
      </w:r>
      <w:r>
        <w:rPr>
          <w:spacing w:val="-2"/>
        </w:rPr>
        <w:t xml:space="preserve"> </w:t>
      </w:r>
      <w:r>
        <w:rPr/>
        <w:t>do</w:t>
      </w:r>
      <w:r>
        <w:rPr>
          <w:spacing w:val="-2"/>
        </w:rPr>
        <w:t xml:space="preserve"> </w:t>
      </w:r>
      <w:r>
        <w:rPr/>
        <w:t>serviço</w:t>
      </w:r>
      <w:r>
        <w:rPr>
          <w:spacing w:val="-1"/>
        </w:rPr>
        <w:t xml:space="preserve"> </w:t>
      </w:r>
      <w:r>
        <w:rPr/>
        <w:t>ficam</w:t>
      </w:r>
      <w:r>
        <w:rPr>
          <w:spacing w:val="-1"/>
        </w:rPr>
        <w:t xml:space="preserve"> </w:t>
      </w:r>
      <w:r>
        <w:rPr/>
        <w:t>por</w:t>
      </w:r>
      <w:r>
        <w:rPr>
          <w:spacing w:val="-1"/>
        </w:rPr>
        <w:t xml:space="preserve"> </w:t>
      </w:r>
      <w:r>
        <w:rPr/>
        <w:t>conta</w:t>
      </w:r>
      <w:r>
        <w:rPr>
          <w:spacing w:val="-3"/>
        </w:rPr>
        <w:t xml:space="preserve"> </w:t>
      </w:r>
      <w:r>
        <w:rPr/>
        <w:t>da</w:t>
      </w:r>
      <w:r>
        <w:rPr>
          <w:spacing w:val="-3"/>
        </w:rPr>
        <w:t xml:space="preserve"> </w:t>
      </w:r>
      <w:r>
        <w:rPr/>
        <w:t>contratada;</w:t>
      </w:r>
    </w:p>
    <w:p>
      <w:pPr>
        <w:pStyle w:val="ListParagraph"/>
        <w:widowControl w:val="false"/>
        <w:numPr>
          <w:ilvl w:val="2"/>
          <w:numId w:val="2"/>
        </w:numPr>
        <w:tabs>
          <w:tab w:val="clear" w:pos="708"/>
          <w:tab w:val="left" w:pos="856" w:leader="none"/>
        </w:tabs>
        <w:spacing w:lineRule="exact" w:line="207" w:before="0" w:after="0"/>
        <w:contextualSpacing w:val="false"/>
        <w:jc w:val="both"/>
        <w:rPr/>
      </w:pPr>
      <w:r>
        <w:rPr/>
        <w:t>Os</w:t>
      </w:r>
      <w:r>
        <w:rPr>
          <w:spacing w:val="-7"/>
        </w:rPr>
        <w:t xml:space="preserve"> </w:t>
      </w:r>
      <w:r>
        <w:rPr/>
        <w:t>garçons</w:t>
      </w:r>
      <w:r>
        <w:rPr>
          <w:spacing w:val="-6"/>
        </w:rPr>
        <w:t xml:space="preserve"> </w:t>
      </w:r>
      <w:r>
        <w:rPr/>
        <w:t>devem</w:t>
      </w:r>
      <w:r>
        <w:rPr>
          <w:spacing w:val="-7"/>
        </w:rPr>
        <w:t xml:space="preserve"> </w:t>
      </w:r>
      <w:r>
        <w:rPr/>
        <w:t>estar</w:t>
      </w:r>
      <w:r>
        <w:rPr>
          <w:spacing w:val="-7"/>
        </w:rPr>
        <w:t xml:space="preserve"> </w:t>
      </w:r>
      <w:r>
        <w:rPr/>
        <w:t>com</w:t>
      </w:r>
      <w:r>
        <w:rPr>
          <w:spacing w:val="-7"/>
        </w:rPr>
        <w:t xml:space="preserve"> </w:t>
      </w:r>
      <w:r>
        <w:rPr/>
        <w:t>uniforme</w:t>
      </w:r>
      <w:r>
        <w:rPr>
          <w:spacing w:val="-7"/>
        </w:rPr>
        <w:t xml:space="preserve"> </w:t>
      </w:r>
      <w:r>
        <w:rPr/>
        <w:t>padronizado</w:t>
      </w:r>
      <w:r>
        <w:rPr>
          <w:spacing w:val="-7"/>
        </w:rPr>
        <w:t xml:space="preserve"> </w:t>
      </w:r>
      <w:r>
        <w:rPr/>
        <w:t>e</w:t>
      </w:r>
      <w:r>
        <w:rPr>
          <w:spacing w:val="-6"/>
        </w:rPr>
        <w:t xml:space="preserve"> </w:t>
      </w:r>
      <w:r>
        <w:rPr/>
        <w:t>em</w:t>
      </w:r>
      <w:r>
        <w:rPr>
          <w:spacing w:val="-7"/>
        </w:rPr>
        <w:t xml:space="preserve"> </w:t>
      </w:r>
      <w:r>
        <w:rPr/>
        <w:t>excelentes</w:t>
      </w:r>
      <w:r>
        <w:rPr>
          <w:spacing w:val="-7"/>
        </w:rPr>
        <w:t xml:space="preserve"> </w:t>
      </w:r>
      <w:r>
        <w:rPr/>
        <w:t>condições</w:t>
      </w:r>
      <w:r>
        <w:rPr>
          <w:spacing w:val="-6"/>
        </w:rPr>
        <w:t xml:space="preserve"> </w:t>
      </w:r>
      <w:r>
        <w:rPr/>
        <w:t>de</w:t>
      </w:r>
      <w:r>
        <w:rPr>
          <w:spacing w:val="-7"/>
        </w:rPr>
        <w:t xml:space="preserve"> </w:t>
      </w:r>
      <w:r>
        <w:rPr/>
        <w:t>uso.</w:t>
      </w:r>
    </w:p>
    <w:p>
      <w:pPr>
        <w:pStyle w:val="ListParagraph"/>
        <w:widowControl w:val="false"/>
        <w:numPr>
          <w:ilvl w:val="2"/>
          <w:numId w:val="2"/>
        </w:numPr>
        <w:tabs>
          <w:tab w:val="clear" w:pos="708"/>
          <w:tab w:val="left" w:pos="856" w:leader="none"/>
        </w:tabs>
        <w:spacing w:before="0" w:after="0"/>
        <w:contextualSpacing w:val="false"/>
        <w:jc w:val="both"/>
        <w:rPr/>
      </w:pPr>
      <w:r>
        <w:rPr/>
        <w:t>A</w:t>
      </w:r>
      <w:r>
        <w:rPr>
          <w:spacing w:val="-5"/>
        </w:rPr>
        <w:t xml:space="preserve"> </w:t>
      </w:r>
      <w:r>
        <w:rPr/>
        <w:t>quantidade</w:t>
      </w:r>
      <w:r>
        <w:rPr>
          <w:spacing w:val="-4"/>
        </w:rPr>
        <w:t xml:space="preserve"> </w:t>
      </w:r>
      <w:r>
        <w:rPr/>
        <w:t>de</w:t>
      </w:r>
      <w:r>
        <w:rPr>
          <w:spacing w:val="-5"/>
        </w:rPr>
        <w:t xml:space="preserve"> </w:t>
      </w:r>
      <w:r>
        <w:rPr/>
        <w:t>bebidas</w:t>
      </w:r>
      <w:r>
        <w:rPr>
          <w:spacing w:val="-6"/>
        </w:rPr>
        <w:t xml:space="preserve"> </w:t>
      </w:r>
      <w:r>
        <w:rPr/>
        <w:t>e</w:t>
      </w:r>
      <w:r>
        <w:rPr>
          <w:spacing w:val="-5"/>
        </w:rPr>
        <w:t xml:space="preserve"> </w:t>
      </w:r>
      <w:r>
        <w:rPr/>
        <w:t>alimentos</w:t>
      </w:r>
      <w:r>
        <w:rPr>
          <w:spacing w:val="-4"/>
        </w:rPr>
        <w:t xml:space="preserve"> </w:t>
      </w:r>
      <w:r>
        <w:rPr/>
        <w:t>tem</w:t>
      </w:r>
      <w:r>
        <w:rPr>
          <w:spacing w:val="-6"/>
        </w:rPr>
        <w:t xml:space="preserve"> </w:t>
      </w:r>
      <w:r>
        <w:rPr/>
        <w:t>que</w:t>
      </w:r>
      <w:r>
        <w:rPr>
          <w:spacing w:val="-5"/>
        </w:rPr>
        <w:t xml:space="preserve"> </w:t>
      </w:r>
      <w:r>
        <w:rPr/>
        <w:t>ser</w:t>
      </w:r>
      <w:r>
        <w:rPr>
          <w:spacing w:val="-4"/>
        </w:rPr>
        <w:t xml:space="preserve"> </w:t>
      </w:r>
      <w:r>
        <w:rPr/>
        <w:t>suficiente</w:t>
      </w:r>
      <w:r>
        <w:rPr>
          <w:spacing w:val="-6"/>
        </w:rPr>
        <w:t xml:space="preserve"> </w:t>
      </w:r>
      <w:r>
        <w:rPr/>
        <w:t>para</w:t>
      </w:r>
      <w:r>
        <w:rPr>
          <w:spacing w:val="-4"/>
        </w:rPr>
        <w:t xml:space="preserve"> </w:t>
      </w:r>
      <w:r>
        <w:rPr/>
        <w:t>toda</w:t>
      </w:r>
      <w:r>
        <w:rPr>
          <w:spacing w:val="-6"/>
        </w:rPr>
        <w:t xml:space="preserve"> </w:t>
      </w:r>
      <w:r>
        <w:rPr/>
        <w:t>execução</w:t>
      </w:r>
      <w:r>
        <w:rPr>
          <w:spacing w:val="-6"/>
        </w:rPr>
        <w:t xml:space="preserve"> </w:t>
      </w:r>
      <w:r>
        <w:rPr/>
        <w:t>do</w:t>
      </w:r>
      <w:r>
        <w:rPr>
          <w:spacing w:val="-5"/>
        </w:rPr>
        <w:t xml:space="preserve"> </w:t>
      </w:r>
      <w:r>
        <w:rPr/>
        <w:t>serviço.</w:t>
      </w:r>
      <w:bookmarkStart w:id="0" w:name="_Hlk528056197"/>
      <w:bookmarkEnd w:id="0"/>
    </w:p>
    <w:p>
      <w:pPr>
        <w:pStyle w:val="Nivel1"/>
        <w:numPr>
          <w:ilvl w:val="0"/>
          <w:numId w:val="2"/>
        </w:numPr>
        <w:spacing w:before="480" w:after="240"/>
        <w:rPr>
          <w:rFonts w:cs="Arial"/>
          <w:lang w:eastAsia="en-US"/>
        </w:rPr>
      </w:pPr>
      <w:r>
        <w:rPr>
          <w:rFonts w:cs="Arial"/>
          <w:lang w:eastAsia="en-US"/>
        </w:rPr>
        <w:t>OBRIGAÇÕES DA CONTRATANTE</w:t>
      </w:r>
    </w:p>
    <w:p>
      <w:pPr>
        <w:pStyle w:val="Normal"/>
        <w:numPr>
          <w:ilvl w:val="1"/>
          <w:numId w:val="2"/>
        </w:numPr>
        <w:spacing w:lineRule="auto" w:line="276" w:before="120" w:after="120"/>
        <w:ind w:left="425" w:right="0" w:hanging="0"/>
        <w:jc w:val="both"/>
        <w:rPr>
          <w:rFonts w:cs="Arial"/>
          <w:color w:val="000000"/>
          <w:szCs w:val="20"/>
        </w:rPr>
      </w:pPr>
      <w:r>
        <w:rPr>
          <w:rFonts w:cs="Arial"/>
          <w:color w:val="000000"/>
          <w:szCs w:val="20"/>
        </w:rPr>
        <w:t>Exigir o cumprimento de todas as obrigações assumidas pela Contratada, de acordo com as cláusulas contratuais e os termos de sua proposta;</w:t>
      </w:r>
    </w:p>
    <w:p>
      <w:pPr>
        <w:pStyle w:val="Normal"/>
        <w:numPr>
          <w:ilvl w:val="1"/>
          <w:numId w:val="2"/>
        </w:numPr>
        <w:spacing w:lineRule="auto" w:line="276" w:before="120" w:after="120"/>
        <w:ind w:left="425" w:right="0" w:hanging="0"/>
        <w:jc w:val="both"/>
        <w:rPr>
          <w:rFonts w:cs="Arial"/>
          <w:color w:val="000000"/>
          <w:szCs w:val="20"/>
        </w:rPr>
      </w:pPr>
      <w:r>
        <w:rPr>
          <w:rFonts w:cs="Arial"/>
          <w:color w:val="000000"/>
          <w:szCs w:val="20"/>
        </w:rPr>
        <w:t>Exercer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pPr>
        <w:pStyle w:val="Normal"/>
        <w:numPr>
          <w:ilvl w:val="1"/>
          <w:numId w:val="2"/>
        </w:numPr>
        <w:spacing w:lineRule="auto" w:line="276" w:before="120" w:after="120"/>
        <w:ind w:left="425" w:right="0" w:hanging="0"/>
        <w:jc w:val="both"/>
        <w:rPr>
          <w:rFonts w:cs="Arial"/>
          <w:color w:val="000000"/>
          <w:szCs w:val="20"/>
        </w:rPr>
      </w:pPr>
      <w:r>
        <w:rPr>
          <w:rFonts w:cs="Arial"/>
          <w:color w:val="000000"/>
          <w:szCs w:val="20"/>
        </w:rPr>
        <w:t>Notificar a Contratada por escrito da ocorrência de eventuais imperfeições, falhas ou irregularidades constatadas no curso da execução dos serviços, fixando prazo para a sua correção, certificando-se que as soluções por ela propostas sejam as mais adequadas;</w:t>
      </w:r>
    </w:p>
    <w:p>
      <w:pPr>
        <w:pStyle w:val="Normal"/>
        <w:numPr>
          <w:ilvl w:val="1"/>
          <w:numId w:val="2"/>
        </w:numPr>
        <w:spacing w:lineRule="auto" w:line="276" w:before="120" w:after="120"/>
        <w:ind w:left="425" w:right="0" w:hanging="0"/>
        <w:jc w:val="both"/>
        <w:rPr>
          <w:rFonts w:cs="Arial"/>
          <w:color w:val="000000"/>
          <w:szCs w:val="20"/>
        </w:rPr>
      </w:pPr>
      <w:r>
        <w:rPr>
          <w:rFonts w:cs="Arial"/>
          <w:color w:val="000000"/>
          <w:szCs w:val="20"/>
        </w:rPr>
        <w:t>Pagar à Contratada o valor resultante da prestação do serviço, no prazo e condições estabelecidas neste Termo de Referência;</w:t>
      </w:r>
    </w:p>
    <w:p>
      <w:pPr>
        <w:pStyle w:val="Normal"/>
        <w:numPr>
          <w:ilvl w:val="1"/>
          <w:numId w:val="2"/>
        </w:numPr>
        <w:spacing w:lineRule="auto" w:line="276" w:before="120" w:after="120"/>
        <w:ind w:left="425" w:right="0" w:hanging="0"/>
        <w:jc w:val="both"/>
        <w:rPr>
          <w:rFonts w:cs="Arial"/>
          <w:color w:val="000000"/>
          <w:szCs w:val="20"/>
        </w:rPr>
      </w:pPr>
      <w:r>
        <w:rPr>
          <w:rFonts w:cs="Arial"/>
          <w:color w:val="000000"/>
          <w:szCs w:val="20"/>
        </w:rPr>
        <w:t>Efetuar as retenções tributárias devidas sobre o valor da Nota Fiscal/Fatura da contratada, no que couber, em conformidade com o item 6 do Anexo XI da IN SEGES/MP n. 5/2017.</w:t>
      </w:r>
    </w:p>
    <w:p>
      <w:pPr>
        <w:pStyle w:val="Normal"/>
        <w:numPr>
          <w:ilvl w:val="1"/>
          <w:numId w:val="2"/>
        </w:numPr>
        <w:spacing w:lineRule="auto" w:line="276" w:before="120" w:after="120"/>
        <w:ind w:left="425" w:right="0" w:hanging="0"/>
        <w:jc w:val="both"/>
        <w:rPr>
          <w:rFonts w:cs="Arial"/>
          <w:color w:val="000000"/>
          <w:szCs w:val="20"/>
        </w:rPr>
      </w:pPr>
      <w:r>
        <w:rPr>
          <w:rFonts w:cs="Arial"/>
          <w:color w:val="000000"/>
          <w:szCs w:val="20"/>
        </w:rPr>
        <w:t>Não praticar atos de ingerência na administração da Contratada, tais como:</w:t>
      </w:r>
    </w:p>
    <w:p>
      <w:pPr>
        <w:pStyle w:val="ListParagraph"/>
        <w:numPr>
          <w:ilvl w:val="2"/>
          <w:numId w:val="2"/>
        </w:numPr>
        <w:spacing w:lineRule="auto" w:line="276" w:before="120" w:after="120"/>
        <w:ind w:left="1134" w:right="0" w:hanging="0"/>
        <w:contextualSpacing w:val="false"/>
        <w:jc w:val="both"/>
        <w:rPr>
          <w:rFonts w:cs="Arial"/>
          <w:color w:val="000000"/>
          <w:szCs w:val="20"/>
        </w:rPr>
      </w:pPr>
      <w:r>
        <w:rPr>
          <w:rFonts w:cs="Arial"/>
          <w:color w:val="000000"/>
          <w:szCs w:val="20"/>
        </w:rPr>
        <w:t>exercer o poder de mando sobre os empregados da Contratada, devendo reportar-se somente aos prepostos ou responsáveis por ela indicados, exceto quando o objeto da contratação previr o atendimento direto, tais como nos serviços de recepção e apoio ao usuário;</w:t>
      </w:r>
    </w:p>
    <w:p>
      <w:pPr>
        <w:pStyle w:val="ListParagraph"/>
        <w:numPr>
          <w:ilvl w:val="2"/>
          <w:numId w:val="2"/>
        </w:numPr>
        <w:spacing w:lineRule="auto" w:line="276" w:before="120" w:after="120"/>
        <w:ind w:left="1134" w:right="0" w:hanging="0"/>
        <w:contextualSpacing w:val="false"/>
        <w:jc w:val="both"/>
        <w:rPr>
          <w:rFonts w:cs="Arial"/>
          <w:color w:val="000000"/>
          <w:szCs w:val="20"/>
        </w:rPr>
      </w:pPr>
      <w:r>
        <w:rPr>
          <w:rFonts w:cs="Arial"/>
          <w:color w:val="000000"/>
          <w:szCs w:val="20"/>
        </w:rPr>
        <w:t>direcionar a contratação de pessoas para trabalhar nas empresas Contratadas;</w:t>
      </w:r>
    </w:p>
    <w:p>
      <w:pPr>
        <w:pStyle w:val="ListParagraph"/>
        <w:numPr>
          <w:ilvl w:val="2"/>
          <w:numId w:val="2"/>
        </w:numPr>
        <w:spacing w:lineRule="auto" w:line="276" w:before="120" w:after="120"/>
        <w:ind w:left="1134" w:right="0" w:hanging="0"/>
        <w:contextualSpacing w:val="false"/>
        <w:jc w:val="both"/>
        <w:rPr>
          <w:rFonts w:cs="Arial"/>
          <w:color w:val="000000"/>
          <w:szCs w:val="20"/>
        </w:rPr>
      </w:pPr>
      <w:r>
        <w:rPr>
          <w:rFonts w:cs="Arial"/>
          <w:color w:val="000000"/>
          <w:szCs w:val="20"/>
        </w:rPr>
        <w:t>promover ou aceitar o desvio de funções dos trabalhadores da Contratada, mediante a utilização destes em atividades distintas daquelas previstas no objeto da contratação e em relação à função específica para a qual o trabalhador foi contratado; e</w:t>
      </w:r>
    </w:p>
    <w:p>
      <w:pPr>
        <w:pStyle w:val="ListParagraph"/>
        <w:numPr>
          <w:ilvl w:val="2"/>
          <w:numId w:val="2"/>
        </w:numPr>
        <w:spacing w:lineRule="auto" w:line="276" w:before="120" w:after="120"/>
        <w:ind w:left="1134" w:right="0" w:hanging="0"/>
        <w:contextualSpacing w:val="false"/>
        <w:jc w:val="both"/>
        <w:rPr>
          <w:rFonts w:cs="Arial"/>
          <w:color w:val="000000"/>
          <w:szCs w:val="20"/>
        </w:rPr>
      </w:pPr>
      <w:r>
        <w:rPr>
          <w:rFonts w:cs="Arial"/>
          <w:color w:val="000000"/>
          <w:szCs w:val="20"/>
        </w:rPr>
        <w:t>considerar os trabalhadores da Contratada como colaboradores eventuais do próprio órgão ou entidade responsável pela contratação, especialmente para efeito de concessão de diárias e passagens.</w:t>
      </w:r>
    </w:p>
    <w:p>
      <w:pPr>
        <w:pStyle w:val="Normal"/>
        <w:numPr>
          <w:ilvl w:val="1"/>
          <w:numId w:val="2"/>
        </w:numPr>
        <w:spacing w:lineRule="auto" w:line="276" w:before="120" w:after="120"/>
        <w:ind w:left="425" w:right="0" w:hanging="0"/>
        <w:jc w:val="both"/>
        <w:rPr/>
      </w:pPr>
      <w:r>
        <w:rPr>
          <w:rFonts w:cs="Arial"/>
          <w:szCs w:val="20"/>
        </w:rPr>
        <w:t xml:space="preserve">Fornecer por escrito as informações necessárias para o desenvolvimento dos serviços objeto </w:t>
      </w:r>
      <w:r>
        <w:rPr>
          <w:rFonts w:cs="Arial"/>
          <w:color w:val="000000"/>
          <w:szCs w:val="20"/>
        </w:rPr>
        <w:t>do contrato;</w:t>
      </w:r>
    </w:p>
    <w:p>
      <w:pPr>
        <w:pStyle w:val="Normal"/>
        <w:numPr>
          <w:ilvl w:val="1"/>
          <w:numId w:val="2"/>
        </w:numPr>
        <w:spacing w:lineRule="auto" w:line="276" w:before="120" w:after="120"/>
        <w:ind w:left="425" w:right="0" w:hanging="0"/>
        <w:jc w:val="both"/>
        <w:rPr>
          <w:rFonts w:cs="Arial"/>
          <w:color w:val="000000"/>
          <w:szCs w:val="20"/>
        </w:rPr>
      </w:pPr>
      <w:r>
        <w:rPr>
          <w:rFonts w:cs="Arial"/>
          <w:color w:val="000000"/>
          <w:szCs w:val="20"/>
        </w:rPr>
        <w:t>Realizar avaliações periódicas da qualidade dos serviços, após seu recebimento;</w:t>
      </w:r>
    </w:p>
    <w:p>
      <w:pPr>
        <w:pStyle w:val="Normal"/>
        <w:numPr>
          <w:ilvl w:val="1"/>
          <w:numId w:val="2"/>
        </w:numPr>
        <w:spacing w:lineRule="auto" w:line="276" w:before="120" w:after="120"/>
        <w:ind w:left="425" w:right="0" w:hanging="0"/>
        <w:jc w:val="both"/>
        <w:rPr>
          <w:rFonts w:cs="Arial"/>
          <w:color w:val="000000"/>
          <w:szCs w:val="20"/>
        </w:rPr>
      </w:pPr>
      <w:r>
        <w:rPr>
          <w:rFonts w:cs="Arial"/>
          <w:color w:val="000000"/>
          <w:szCs w:val="20"/>
        </w:rPr>
        <w:t xml:space="preserve">Cientificar o órgão de representação judicial da Advocacia-Geral da União para adoção das medidas cabíveis quando do descumprimento das obrigações pela Contratada; </w:t>
      </w:r>
    </w:p>
    <w:p>
      <w:pPr>
        <w:pStyle w:val="ListParagraph"/>
        <w:widowControl w:val="false"/>
        <w:numPr>
          <w:ilvl w:val="1"/>
          <w:numId w:val="2"/>
        </w:numPr>
        <w:tabs>
          <w:tab w:val="clear" w:pos="708"/>
          <w:tab w:val="left" w:pos="1424" w:leader="none"/>
        </w:tabs>
        <w:spacing w:lineRule="auto" w:line="271" w:before="127" w:after="0"/>
        <w:ind w:left="716" w:right="239" w:hanging="432"/>
        <w:contextualSpacing w:val="false"/>
        <w:jc w:val="both"/>
        <w:rPr/>
      </w:pPr>
      <w:r>
        <w:rPr>
          <w:color w:val="000009"/>
        </w:rPr>
        <w:t>Fiscalizar</w:t>
      </w:r>
      <w:r>
        <w:rPr>
          <w:color w:val="000009"/>
          <w:spacing w:val="1"/>
        </w:rPr>
        <w:t xml:space="preserve"> </w:t>
      </w:r>
      <w:r>
        <w:rPr>
          <w:color w:val="000009"/>
        </w:rPr>
        <w:t>o</w:t>
      </w:r>
      <w:r>
        <w:rPr>
          <w:color w:val="000009"/>
          <w:spacing w:val="1"/>
        </w:rPr>
        <w:t xml:space="preserve"> </w:t>
      </w:r>
      <w:r>
        <w:rPr>
          <w:color w:val="000009"/>
        </w:rPr>
        <w:t>cumprimento</w:t>
      </w:r>
      <w:r>
        <w:rPr>
          <w:color w:val="000009"/>
          <w:spacing w:val="1"/>
        </w:rPr>
        <w:t xml:space="preserve"> </w:t>
      </w:r>
      <w:r>
        <w:rPr>
          <w:color w:val="000009"/>
        </w:rPr>
        <w:t>dos</w:t>
      </w:r>
      <w:r>
        <w:rPr>
          <w:color w:val="000009"/>
          <w:spacing w:val="1"/>
        </w:rPr>
        <w:t xml:space="preserve"> </w:t>
      </w:r>
      <w:r>
        <w:rPr>
          <w:color w:val="000009"/>
        </w:rPr>
        <w:t>requisitos</w:t>
      </w:r>
      <w:r>
        <w:rPr>
          <w:color w:val="000009"/>
          <w:spacing w:val="1"/>
        </w:rPr>
        <w:t xml:space="preserve"> </w:t>
      </w:r>
      <w:r>
        <w:rPr>
          <w:color w:val="000009"/>
        </w:rPr>
        <w:t>legais,</w:t>
      </w:r>
      <w:r>
        <w:rPr>
          <w:color w:val="000009"/>
          <w:spacing w:val="1"/>
        </w:rPr>
        <w:t xml:space="preserve"> </w:t>
      </w:r>
      <w:r>
        <w:rPr>
          <w:color w:val="000009"/>
        </w:rPr>
        <w:t>quando</w:t>
      </w:r>
      <w:r>
        <w:rPr>
          <w:color w:val="000009"/>
          <w:spacing w:val="1"/>
        </w:rPr>
        <w:t xml:space="preserve"> </w:t>
      </w:r>
      <w:r>
        <w:rPr>
          <w:color w:val="000009"/>
        </w:rPr>
        <w:t>a</w:t>
      </w:r>
      <w:r>
        <w:rPr>
          <w:color w:val="000009"/>
          <w:spacing w:val="1"/>
        </w:rPr>
        <w:t xml:space="preserve"> </w:t>
      </w:r>
      <w:r>
        <w:rPr>
          <w:color w:val="000009"/>
        </w:rPr>
        <w:t>contratada</w:t>
      </w:r>
      <w:r>
        <w:rPr>
          <w:color w:val="000009"/>
          <w:spacing w:val="1"/>
        </w:rPr>
        <w:t xml:space="preserve"> </w:t>
      </w:r>
      <w:r>
        <w:rPr>
          <w:color w:val="000009"/>
        </w:rPr>
        <w:t>houver</w:t>
      </w:r>
      <w:r>
        <w:rPr>
          <w:color w:val="000009"/>
          <w:spacing w:val="1"/>
        </w:rPr>
        <w:t xml:space="preserve"> </w:t>
      </w:r>
      <w:r>
        <w:rPr>
          <w:color w:val="000009"/>
        </w:rPr>
        <w:t>se</w:t>
      </w:r>
      <w:r>
        <w:rPr>
          <w:color w:val="000009"/>
          <w:spacing w:val="1"/>
        </w:rPr>
        <w:t xml:space="preserve"> </w:t>
      </w:r>
      <w:r>
        <w:rPr>
          <w:color w:val="000009"/>
        </w:rPr>
        <w:t>beneficiado</w:t>
      </w:r>
      <w:r>
        <w:rPr>
          <w:color w:val="000009"/>
          <w:spacing w:val="1"/>
        </w:rPr>
        <w:t xml:space="preserve"> </w:t>
      </w:r>
      <w:r>
        <w:rPr>
          <w:color w:val="000009"/>
        </w:rPr>
        <w:t>da</w:t>
      </w:r>
      <w:r>
        <w:rPr>
          <w:color w:val="000009"/>
          <w:spacing w:val="1"/>
        </w:rPr>
        <w:t xml:space="preserve"> </w:t>
      </w:r>
      <w:r>
        <w:rPr>
          <w:color w:val="000009"/>
        </w:rPr>
        <w:t>preferência</w:t>
      </w:r>
      <w:r>
        <w:rPr>
          <w:color w:val="000009"/>
          <w:spacing w:val="-1"/>
        </w:rPr>
        <w:t xml:space="preserve"> </w:t>
      </w:r>
      <w:r>
        <w:rPr>
          <w:color w:val="000009"/>
        </w:rPr>
        <w:t>estabelecida</w:t>
      </w:r>
      <w:r>
        <w:rPr>
          <w:color w:val="000009"/>
          <w:spacing w:val="-1"/>
        </w:rPr>
        <w:t xml:space="preserve"> </w:t>
      </w:r>
      <w:r>
        <w:rPr>
          <w:color w:val="000009"/>
        </w:rPr>
        <w:t>pelo</w:t>
      </w:r>
      <w:r>
        <w:rPr>
          <w:color w:val="000009"/>
          <w:spacing w:val="-1"/>
        </w:rPr>
        <w:t xml:space="preserve"> </w:t>
      </w:r>
      <w:r>
        <w:rPr>
          <w:color w:val="000009"/>
        </w:rPr>
        <w:t>art.</w:t>
      </w:r>
      <w:r>
        <w:rPr>
          <w:color w:val="000009"/>
          <w:spacing w:val="-3"/>
        </w:rPr>
        <w:t xml:space="preserve"> </w:t>
      </w:r>
      <w:r>
        <w:rPr>
          <w:color w:val="000009"/>
        </w:rPr>
        <w:t>3º, §</w:t>
      </w:r>
      <w:r>
        <w:rPr>
          <w:color w:val="000009"/>
          <w:spacing w:val="-3"/>
        </w:rPr>
        <w:t xml:space="preserve"> </w:t>
      </w:r>
      <w:r>
        <w:rPr>
          <w:color w:val="000009"/>
        </w:rPr>
        <w:t>5º, da</w:t>
      </w:r>
      <w:r>
        <w:rPr>
          <w:color w:val="000009"/>
          <w:spacing w:val="-1"/>
        </w:rPr>
        <w:t xml:space="preserve"> </w:t>
      </w:r>
      <w:r>
        <w:rPr>
          <w:color w:val="000009"/>
        </w:rPr>
        <w:t>Lei nº</w:t>
      </w:r>
      <w:r>
        <w:rPr>
          <w:color w:val="000009"/>
          <w:spacing w:val="-3"/>
        </w:rPr>
        <w:t xml:space="preserve"> </w:t>
      </w:r>
      <w:r>
        <w:rPr>
          <w:color w:val="000009"/>
        </w:rPr>
        <w:t>8.666,</w:t>
      </w:r>
      <w:r>
        <w:rPr>
          <w:color w:val="000009"/>
          <w:spacing w:val="-1"/>
        </w:rPr>
        <w:t xml:space="preserve"> </w:t>
      </w:r>
      <w:r>
        <w:rPr>
          <w:color w:val="000009"/>
        </w:rPr>
        <w:t>de 1993.</w:t>
      </w:r>
    </w:p>
    <w:p>
      <w:pPr>
        <w:pStyle w:val="ListParagraph"/>
        <w:widowControl w:val="false"/>
        <w:numPr>
          <w:ilvl w:val="1"/>
          <w:numId w:val="2"/>
        </w:numPr>
        <w:tabs>
          <w:tab w:val="clear" w:pos="708"/>
          <w:tab w:val="left" w:pos="1424" w:leader="none"/>
        </w:tabs>
        <w:spacing w:lineRule="auto" w:line="271" w:before="123" w:after="0"/>
        <w:ind w:left="716" w:right="236" w:hanging="432"/>
        <w:contextualSpacing w:val="false"/>
        <w:jc w:val="both"/>
        <w:rPr/>
      </w:pPr>
      <w:r>
        <w:rPr>
          <w:color w:val="000009"/>
        </w:rPr>
        <w:t>Assegurar</w:t>
      </w:r>
      <w:r>
        <w:rPr>
          <w:color w:val="000009"/>
          <w:spacing w:val="1"/>
        </w:rPr>
        <w:t xml:space="preserve"> </w:t>
      </w:r>
      <w:r>
        <w:rPr>
          <w:color w:val="000009"/>
        </w:rPr>
        <w:t>que</w:t>
      </w:r>
      <w:r>
        <w:rPr>
          <w:color w:val="000009"/>
          <w:spacing w:val="1"/>
        </w:rPr>
        <w:t xml:space="preserve"> </w:t>
      </w:r>
      <w:r>
        <w:rPr>
          <w:color w:val="000009"/>
        </w:rPr>
        <w:t>o</w:t>
      </w:r>
      <w:r>
        <w:rPr>
          <w:color w:val="000009"/>
          <w:spacing w:val="1"/>
        </w:rPr>
        <w:t xml:space="preserve"> </w:t>
      </w:r>
      <w:r>
        <w:rPr>
          <w:color w:val="000009"/>
        </w:rPr>
        <w:t>ambiente</w:t>
      </w:r>
      <w:r>
        <w:rPr>
          <w:color w:val="000009"/>
          <w:spacing w:val="1"/>
        </w:rPr>
        <w:t xml:space="preserve"> </w:t>
      </w:r>
      <w:r>
        <w:rPr>
          <w:color w:val="000009"/>
        </w:rPr>
        <w:t>de</w:t>
      </w:r>
      <w:r>
        <w:rPr>
          <w:color w:val="000009"/>
          <w:spacing w:val="1"/>
        </w:rPr>
        <w:t xml:space="preserve"> </w:t>
      </w:r>
      <w:r>
        <w:rPr>
          <w:color w:val="000009"/>
        </w:rPr>
        <w:t>trabalho,</w:t>
      </w:r>
      <w:r>
        <w:rPr>
          <w:color w:val="000009"/>
          <w:spacing w:val="1"/>
        </w:rPr>
        <w:t xml:space="preserve"> </w:t>
      </w:r>
      <w:r>
        <w:rPr>
          <w:color w:val="000009"/>
        </w:rPr>
        <w:t>inclusive</w:t>
      </w:r>
      <w:r>
        <w:rPr>
          <w:color w:val="000009"/>
          <w:spacing w:val="1"/>
        </w:rPr>
        <w:t xml:space="preserve"> </w:t>
      </w:r>
      <w:r>
        <w:rPr>
          <w:color w:val="000009"/>
        </w:rPr>
        <w:t>seus</w:t>
      </w:r>
      <w:r>
        <w:rPr>
          <w:color w:val="000009"/>
          <w:spacing w:val="1"/>
        </w:rPr>
        <w:t xml:space="preserve"> </w:t>
      </w:r>
      <w:r>
        <w:rPr>
          <w:color w:val="000009"/>
        </w:rPr>
        <w:t>equipamentos</w:t>
      </w:r>
      <w:r>
        <w:rPr>
          <w:color w:val="000009"/>
          <w:spacing w:val="1"/>
        </w:rPr>
        <w:t xml:space="preserve"> </w:t>
      </w:r>
      <w:r>
        <w:rPr>
          <w:color w:val="000009"/>
        </w:rPr>
        <w:t>e</w:t>
      </w:r>
      <w:r>
        <w:rPr>
          <w:color w:val="000009"/>
          <w:spacing w:val="1"/>
        </w:rPr>
        <w:t xml:space="preserve"> </w:t>
      </w:r>
      <w:r>
        <w:rPr>
          <w:color w:val="000009"/>
        </w:rPr>
        <w:t>instalações,</w:t>
      </w:r>
      <w:r>
        <w:rPr>
          <w:color w:val="000009"/>
          <w:spacing w:val="1"/>
        </w:rPr>
        <w:t xml:space="preserve"> </w:t>
      </w:r>
      <w:r>
        <w:rPr>
          <w:color w:val="000009"/>
        </w:rPr>
        <w:t>apresentem</w:t>
      </w:r>
      <w:r>
        <w:rPr>
          <w:color w:val="000009"/>
          <w:spacing w:val="1"/>
        </w:rPr>
        <w:t xml:space="preserve"> </w:t>
      </w:r>
      <w:r>
        <w:rPr>
          <w:color w:val="000009"/>
        </w:rPr>
        <w:t>condições adequadas ao cumprimento, pela contratada, das normas de segurança e saúde no trabalho, quando</w:t>
      </w:r>
      <w:r>
        <w:rPr>
          <w:color w:val="000009"/>
          <w:spacing w:val="-44"/>
        </w:rPr>
        <w:t xml:space="preserve"> </w:t>
      </w:r>
      <w:r>
        <w:rPr>
          <w:color w:val="000009"/>
        </w:rPr>
        <w:t>o</w:t>
      </w:r>
      <w:r>
        <w:rPr>
          <w:color w:val="000009"/>
          <w:spacing w:val="-2"/>
        </w:rPr>
        <w:t xml:space="preserve"> </w:t>
      </w:r>
      <w:r>
        <w:rPr>
          <w:color w:val="000009"/>
        </w:rPr>
        <w:t>serviço</w:t>
      </w:r>
      <w:r>
        <w:rPr>
          <w:color w:val="000009"/>
          <w:spacing w:val="-1"/>
        </w:rPr>
        <w:t xml:space="preserve"> </w:t>
      </w:r>
      <w:r>
        <w:rPr>
          <w:color w:val="000009"/>
        </w:rPr>
        <w:t>for</w:t>
      </w:r>
      <w:r>
        <w:rPr>
          <w:color w:val="000009"/>
          <w:spacing w:val="-3"/>
        </w:rPr>
        <w:t xml:space="preserve"> </w:t>
      </w:r>
      <w:r>
        <w:rPr>
          <w:color w:val="000009"/>
        </w:rPr>
        <w:t>executado</w:t>
      </w:r>
      <w:r>
        <w:rPr>
          <w:color w:val="000009"/>
          <w:spacing w:val="-1"/>
        </w:rPr>
        <w:t xml:space="preserve"> </w:t>
      </w:r>
      <w:r>
        <w:rPr>
          <w:color w:val="000009"/>
        </w:rPr>
        <w:t>em suas</w:t>
      </w:r>
      <w:r>
        <w:rPr>
          <w:color w:val="000009"/>
          <w:spacing w:val="-1"/>
        </w:rPr>
        <w:t xml:space="preserve"> </w:t>
      </w:r>
      <w:r>
        <w:rPr>
          <w:color w:val="000009"/>
        </w:rPr>
        <w:t>dependências,</w:t>
      </w:r>
      <w:r>
        <w:rPr>
          <w:color w:val="000009"/>
          <w:spacing w:val="-3"/>
        </w:rPr>
        <w:t xml:space="preserve"> </w:t>
      </w:r>
      <w:r>
        <w:rPr>
          <w:color w:val="000009"/>
        </w:rPr>
        <w:t>ou</w:t>
      </w:r>
      <w:r>
        <w:rPr>
          <w:color w:val="000009"/>
          <w:spacing w:val="-2"/>
        </w:rPr>
        <w:t xml:space="preserve"> </w:t>
      </w:r>
      <w:r>
        <w:rPr>
          <w:color w:val="000009"/>
        </w:rPr>
        <w:t>em</w:t>
      </w:r>
      <w:r>
        <w:rPr>
          <w:color w:val="000009"/>
          <w:spacing w:val="-2"/>
        </w:rPr>
        <w:t xml:space="preserve"> </w:t>
      </w:r>
      <w:r>
        <w:rPr>
          <w:color w:val="000009"/>
        </w:rPr>
        <w:t>local</w:t>
      </w:r>
      <w:r>
        <w:rPr>
          <w:color w:val="000009"/>
          <w:spacing w:val="-1"/>
        </w:rPr>
        <w:t xml:space="preserve"> </w:t>
      </w:r>
      <w:r>
        <w:rPr>
          <w:color w:val="000009"/>
        </w:rPr>
        <w:t>por</w:t>
      </w:r>
      <w:r>
        <w:rPr>
          <w:color w:val="000009"/>
          <w:spacing w:val="-1"/>
        </w:rPr>
        <w:t xml:space="preserve"> </w:t>
      </w:r>
      <w:r>
        <w:rPr>
          <w:color w:val="000009"/>
        </w:rPr>
        <w:t>ela</w:t>
      </w:r>
      <w:r>
        <w:rPr>
          <w:color w:val="000009"/>
          <w:spacing w:val="-1"/>
        </w:rPr>
        <w:t xml:space="preserve"> </w:t>
      </w:r>
      <w:r>
        <w:rPr>
          <w:color w:val="000009"/>
        </w:rPr>
        <w:t>designado.</w:t>
      </w:r>
    </w:p>
    <w:p>
      <w:pPr>
        <w:pStyle w:val="Nivel1"/>
        <w:numPr>
          <w:ilvl w:val="0"/>
          <w:numId w:val="2"/>
        </w:numPr>
        <w:rPr>
          <w:rFonts w:cs="Arial"/>
        </w:rPr>
      </w:pPr>
      <w:r>
        <w:rPr>
          <w:rFonts w:cs="Arial"/>
        </w:rPr>
        <w:t>OBRIGAÇÕES DA CONTRATADA</w:t>
      </w:r>
    </w:p>
    <w:p>
      <w:pPr>
        <w:pStyle w:val="Normal"/>
        <w:numPr>
          <w:ilvl w:val="1"/>
          <w:numId w:val="2"/>
        </w:numPr>
        <w:spacing w:lineRule="auto" w:line="276" w:before="120" w:after="120"/>
        <w:ind w:left="425" w:right="0" w:hanging="0"/>
        <w:jc w:val="both"/>
        <w:rPr>
          <w:rFonts w:cs="Arial"/>
          <w:color w:val="000000"/>
          <w:szCs w:val="20"/>
        </w:rPr>
      </w:pPr>
      <w:r>
        <w:rPr>
          <w:rFonts w:cs="Arial"/>
          <w:color w:val="000000"/>
          <w:szCs w:val="20"/>
        </w:rPr>
        <w:t>Executar os serviços conforme especificações deste Termo de Referência e de sua proposta, com a alocação dos empregados necessários ao perfeito cumprimento das cláusulas contratuais, além de fornecer e utilizar os materiais e equipamentos, ferramentas e utensílios necessários, na qualidade e quantidade mínimas especificadas neste Termo de Referência e em sua proposta;</w:t>
      </w:r>
    </w:p>
    <w:p>
      <w:pPr>
        <w:pStyle w:val="Normal"/>
        <w:numPr>
          <w:ilvl w:val="1"/>
          <w:numId w:val="2"/>
        </w:numPr>
        <w:spacing w:lineRule="auto" w:line="276" w:before="120" w:after="120"/>
        <w:ind w:left="425" w:right="0" w:hanging="0"/>
        <w:jc w:val="both"/>
        <w:rPr>
          <w:rFonts w:cs="Arial"/>
          <w:color w:val="000000"/>
          <w:szCs w:val="20"/>
        </w:rPr>
      </w:pPr>
      <w:r>
        <w:rPr>
          <w:rFonts w:cs="Arial"/>
          <w:color w:val="000000"/>
          <w:szCs w:val="20"/>
        </w:rPr>
        <w:t>Reparar, corrigir, remover ou substituir, às suas expensas, no total ou em parte, no prazo fixado pelo fiscal do contrato, os serviços efetuados em que se verificarem vícios, defeitos ou incorreções resultantes da execução ou dos materiais empregados;</w:t>
      </w:r>
    </w:p>
    <w:p>
      <w:pPr>
        <w:pStyle w:val="Normal"/>
        <w:numPr>
          <w:ilvl w:val="1"/>
          <w:numId w:val="2"/>
        </w:numPr>
        <w:spacing w:lineRule="auto" w:line="276" w:before="120" w:after="120"/>
        <w:ind w:left="425" w:right="0" w:hanging="0"/>
        <w:jc w:val="both"/>
        <w:rPr>
          <w:rFonts w:cs="Arial"/>
          <w:color w:val="000000"/>
          <w:szCs w:val="20"/>
        </w:rPr>
      </w:pPr>
      <w:r>
        <w:rPr>
          <w:rFonts w:cs="Arial"/>
          <w:color w:val="000000"/>
          <w:szCs w:val="20"/>
        </w:rPr>
        <w:t>Responsabilizar-se pelos vícios e danos decorrentes da execução do objeto, bem como por todo e qualquer dano causado à União ou à entidade federal, devendo ressarcir imediatamente a Administração em sua integralidade, ficando a Contratante autorizada a descontar da garantia, caso exigida no edital, ou dos pagamentos devidos à Contratada, o valor correspondente aos danos sofridos;</w:t>
      </w:r>
    </w:p>
    <w:p>
      <w:pPr>
        <w:pStyle w:val="Normal"/>
        <w:numPr>
          <w:ilvl w:val="1"/>
          <w:numId w:val="2"/>
        </w:numPr>
        <w:spacing w:lineRule="auto" w:line="276" w:before="120" w:after="120"/>
        <w:ind w:left="425" w:right="0" w:hanging="0"/>
        <w:jc w:val="both"/>
        <w:rPr>
          <w:rFonts w:cs="Arial"/>
          <w:color w:val="000000"/>
          <w:szCs w:val="20"/>
        </w:rPr>
      </w:pPr>
      <w:r>
        <w:rPr>
          <w:rFonts w:cs="Arial"/>
          <w:color w:val="000000"/>
          <w:szCs w:val="20"/>
        </w:rPr>
        <w:t>Utilizar empregados habilitados e com conhecimentos básicos dos serviços a serem executados, em conformidade com as normas e determinações em vigor;</w:t>
      </w:r>
    </w:p>
    <w:p>
      <w:pPr>
        <w:pStyle w:val="Normal"/>
        <w:numPr>
          <w:ilvl w:val="1"/>
          <w:numId w:val="2"/>
        </w:numPr>
        <w:spacing w:lineRule="auto" w:line="276" w:before="120" w:after="120"/>
        <w:ind w:left="425" w:right="0" w:hanging="0"/>
        <w:jc w:val="both"/>
        <w:rPr>
          <w:rFonts w:cs="Arial"/>
          <w:color w:val="000000"/>
          <w:szCs w:val="20"/>
        </w:rPr>
      </w:pPr>
      <w:r>
        <w:rPr>
          <w:rFonts w:cs="Arial"/>
          <w:color w:val="000000"/>
          <w:szCs w:val="20"/>
        </w:rPr>
        <w:t>Vedar a utilização, na execução dos serviços, de empregado que seja familiar de agente público ocupante de cargo em comissão ou função de confiança no órgão Contratante, nos termos do artigo 7° do Decreto n° 7.203, de 2010;</w:t>
      </w:r>
    </w:p>
    <w:p>
      <w:pPr>
        <w:pStyle w:val="Normal"/>
        <w:numPr>
          <w:ilvl w:val="1"/>
          <w:numId w:val="2"/>
        </w:numPr>
        <w:spacing w:lineRule="auto" w:line="276" w:before="120" w:after="120"/>
        <w:ind w:left="425" w:right="0" w:hanging="0"/>
        <w:jc w:val="both"/>
        <w:rPr>
          <w:rFonts w:cs="Arial"/>
          <w:szCs w:val="20"/>
        </w:rPr>
      </w:pPr>
      <w:r>
        <w:rPr>
          <w:rFonts w:cs="Arial"/>
          <w:szCs w:val="20"/>
        </w:rPr>
        <w:t>Quando não for possível a verificação da regularidade no Sistema de Cadastro de Fornecedores – SICAF, a empresa contratada deverá entregar ao setor responsável pela fiscalização do contrato, até o dia trinta do mês seguinte ao da prestação dos serviços, os seguintes documentos: 1) prova de regularidade relativa à Seguridade Social; 2) certidão conjunta relativa aos tributos federais e à Dívida Ativa da União; 3) certidões que comprovem a regularidade perante a Fazenda Municipal ou Distrital do domicílio ou sede do contratado; 4) Certidão de Regularidade do FGTS – CRF; e 5) Certidão Negativa de Débitos Trabalhistas – CNDT, conforme alínea "c" do item 10.2 do Anexo VIII-B da IN SEGES/MP n. 5/2017;</w:t>
      </w:r>
    </w:p>
    <w:p>
      <w:pPr>
        <w:pStyle w:val="Normal"/>
        <w:numPr>
          <w:ilvl w:val="1"/>
          <w:numId w:val="2"/>
        </w:numPr>
        <w:spacing w:lineRule="auto" w:line="276" w:before="120" w:after="120"/>
        <w:ind w:left="425" w:right="0" w:hanging="0"/>
        <w:jc w:val="both"/>
        <w:rPr>
          <w:rFonts w:cs="Arial"/>
          <w:szCs w:val="20"/>
        </w:rPr>
      </w:pPr>
      <w:r>
        <w:rPr>
          <w:rFonts w:cs="Arial"/>
          <w:szCs w:val="20"/>
        </w:rPr>
        <w:t xml:space="preserve">Responsabilizar-se pelo cumprimento das obrigações previstas em Acordo, Convenção, Dissídio Coletivo de Trabalho ou equivalentes das categorias abrangidas pelo contrato, por todas as obrigações trabalhistas, sociais, previdenciárias, tributárias e as demais previstas em legislação específica, cuja inadimplência não transfere a responsabilidade à Contratante; </w:t>
      </w:r>
    </w:p>
    <w:p>
      <w:pPr>
        <w:pStyle w:val="Normal"/>
        <w:numPr>
          <w:ilvl w:val="1"/>
          <w:numId w:val="2"/>
        </w:numPr>
        <w:spacing w:lineRule="auto" w:line="276" w:before="120" w:after="120"/>
        <w:ind w:left="425" w:right="0" w:hanging="0"/>
        <w:jc w:val="both"/>
        <w:rPr/>
      </w:pPr>
      <w:r>
        <w:rPr>
          <w:rFonts w:cs="Arial"/>
          <w:szCs w:val="20"/>
        </w:rPr>
        <w:t xml:space="preserve">Comunicar ao Fiscal do contrato, no prazo de 24 (vinte e quatro) horas, qualquer ocorrência anormal ou </w:t>
      </w:r>
      <w:r>
        <w:rPr>
          <w:rFonts w:cs="Arial"/>
          <w:color w:val="000000"/>
          <w:szCs w:val="20"/>
        </w:rPr>
        <w:t>acidente</w:t>
      </w:r>
      <w:r>
        <w:rPr>
          <w:rFonts w:cs="Arial"/>
          <w:szCs w:val="20"/>
        </w:rPr>
        <w:t xml:space="preserve"> que se verifique no local dos serviços.</w:t>
      </w:r>
    </w:p>
    <w:p>
      <w:pPr>
        <w:pStyle w:val="Normal"/>
        <w:numPr>
          <w:ilvl w:val="1"/>
          <w:numId w:val="2"/>
        </w:numPr>
        <w:spacing w:lineRule="auto" w:line="276" w:before="120" w:after="120"/>
        <w:ind w:left="425" w:right="0" w:hanging="0"/>
        <w:jc w:val="both"/>
        <w:rPr>
          <w:rFonts w:cs="Arial"/>
          <w:szCs w:val="20"/>
        </w:rPr>
      </w:pPr>
      <w:r>
        <w:rPr>
          <w:rFonts w:cs="Arial"/>
          <w:szCs w:val="20"/>
        </w:rPr>
        <w:t>Prestar todo esclarecimento ou informação solicitada pela Contratante ou por seus prepostos, garantindo-lhes o acesso, a qualquer tempo, ao local dos trabalhos, bem como aos documentos relativos à execução do empreendimento.</w:t>
      </w:r>
    </w:p>
    <w:p>
      <w:pPr>
        <w:pStyle w:val="Normal"/>
        <w:numPr>
          <w:ilvl w:val="1"/>
          <w:numId w:val="2"/>
        </w:numPr>
        <w:spacing w:lineRule="auto" w:line="276" w:before="120" w:after="120"/>
        <w:ind w:left="425" w:right="0" w:hanging="0"/>
        <w:jc w:val="both"/>
        <w:rPr>
          <w:rFonts w:cs="Arial"/>
          <w:szCs w:val="20"/>
        </w:rPr>
      </w:pPr>
      <w:r>
        <w:rPr>
          <w:rFonts w:cs="Arial"/>
          <w:szCs w:val="20"/>
        </w:rPr>
        <w:t>Paralisar, por determinação da Contratante, qualquer atividade que não esteja sendo executada de acordo com a boa técnica ou que ponha em risco a segurança de pessoas ou bens de terceiros.</w:t>
      </w:r>
    </w:p>
    <w:p>
      <w:pPr>
        <w:pStyle w:val="Normal"/>
        <w:numPr>
          <w:ilvl w:val="1"/>
          <w:numId w:val="2"/>
        </w:numPr>
        <w:spacing w:lineRule="auto" w:line="276" w:before="120" w:after="120"/>
        <w:ind w:left="425" w:right="0" w:hanging="0"/>
        <w:jc w:val="both"/>
        <w:rPr>
          <w:rFonts w:cs="Arial"/>
          <w:szCs w:val="20"/>
        </w:rPr>
      </w:pPr>
      <w:r>
        <w:rPr>
          <w:rFonts w:cs="Arial"/>
          <w:szCs w:val="20"/>
        </w:rPr>
        <w:t>Promover a guarda, manutenção e vigilância de materiais, ferramentas, e tudo o que for necessário à execução dos serviços, durante a vigência do contrato.</w:t>
      </w:r>
    </w:p>
    <w:p>
      <w:pPr>
        <w:pStyle w:val="Normal"/>
        <w:numPr>
          <w:ilvl w:val="1"/>
          <w:numId w:val="2"/>
        </w:numPr>
        <w:spacing w:lineRule="auto" w:line="276" w:before="120" w:after="120"/>
        <w:ind w:left="425" w:right="0" w:hanging="0"/>
        <w:jc w:val="both"/>
        <w:rPr>
          <w:rFonts w:cs="Arial"/>
          <w:szCs w:val="20"/>
        </w:rPr>
      </w:pPr>
      <w:r>
        <w:rPr>
          <w:rFonts w:cs="Arial"/>
          <w:szCs w:val="20"/>
        </w:rPr>
        <w:t>Promover a organização técnica e administrativa dos serviços, de modo a conduzi-los eficaz e eficientemente, de acordo com os documentos e especificações que integram este Termo de Referência, no prazo determinado.</w:t>
      </w:r>
    </w:p>
    <w:p>
      <w:pPr>
        <w:pStyle w:val="Normal"/>
        <w:numPr>
          <w:ilvl w:val="1"/>
          <w:numId w:val="2"/>
        </w:numPr>
        <w:spacing w:lineRule="auto" w:line="276" w:before="120" w:after="120"/>
        <w:ind w:left="425" w:right="0" w:hanging="0"/>
        <w:jc w:val="both"/>
        <w:rPr>
          <w:rFonts w:cs="Arial"/>
          <w:szCs w:val="20"/>
        </w:rPr>
      </w:pPr>
      <w:r>
        <w:rPr>
          <w:rFonts w:cs="Arial"/>
          <w:szCs w:val="20"/>
        </w:rPr>
        <w:t>Conduzir os trabalhos com estrita observância às normas da legislação pertinente, cumprindo as determinações dos Poderes Públicos, mantendo sempre limpo o local dos serviços e nas melhores condições de segurança, higiene e disciplina.</w:t>
      </w:r>
    </w:p>
    <w:p>
      <w:pPr>
        <w:pStyle w:val="Normal"/>
        <w:numPr>
          <w:ilvl w:val="1"/>
          <w:numId w:val="2"/>
        </w:numPr>
        <w:spacing w:lineRule="auto" w:line="276" w:before="120" w:after="120"/>
        <w:ind w:left="425" w:right="0" w:hanging="0"/>
        <w:jc w:val="both"/>
        <w:rPr>
          <w:rFonts w:cs="Arial"/>
          <w:szCs w:val="20"/>
        </w:rPr>
      </w:pPr>
      <w:r>
        <w:rPr>
          <w:rFonts w:cs="Arial"/>
          <w:szCs w:val="20"/>
        </w:rPr>
        <w:t>Submeter previamente, por escrito, à Contratante, para análise e aprovação, quaisquer mudanças nos métodos executivos que fujam às especificações do memorial descritivo.</w:t>
      </w:r>
    </w:p>
    <w:p>
      <w:pPr>
        <w:pStyle w:val="Normal"/>
        <w:numPr>
          <w:ilvl w:val="1"/>
          <w:numId w:val="2"/>
        </w:numPr>
        <w:spacing w:lineRule="auto" w:line="276" w:before="120" w:after="120"/>
        <w:ind w:left="425" w:right="0" w:hanging="0"/>
        <w:jc w:val="both"/>
        <w:rPr>
          <w:rFonts w:cs="Arial"/>
          <w:color w:val="000000"/>
          <w:szCs w:val="20"/>
        </w:rPr>
      </w:pPr>
      <w:r>
        <w:rPr>
          <w:rFonts w:cs="Arial"/>
          <w:color w:val="000000"/>
          <w:szCs w:val="20"/>
        </w:rPr>
        <w:t>Não permitir a utilização de qualquer trabalho do menor de dezesseis anos, exceto na condição de aprendiz para os maiores de quatorze anos; nem permitir a utilização do trabalho do menor de dezoito anos em trabalho noturno, perigoso ou insalubre;</w:t>
      </w:r>
    </w:p>
    <w:p>
      <w:pPr>
        <w:pStyle w:val="Normal"/>
        <w:numPr>
          <w:ilvl w:val="1"/>
          <w:numId w:val="2"/>
        </w:numPr>
        <w:spacing w:lineRule="auto" w:line="276" w:before="120" w:after="120"/>
        <w:ind w:left="425" w:right="0" w:hanging="0"/>
        <w:jc w:val="both"/>
        <w:rPr>
          <w:rFonts w:cs="Arial"/>
          <w:color w:val="000000"/>
          <w:szCs w:val="20"/>
        </w:rPr>
      </w:pPr>
      <w:r>
        <w:rPr>
          <w:rFonts w:cs="Arial"/>
          <w:color w:val="000000"/>
          <w:szCs w:val="20"/>
        </w:rPr>
        <w:t xml:space="preserve"> </w:t>
      </w:r>
      <w:r>
        <w:rPr>
          <w:rFonts w:cs="Arial"/>
          <w:color w:val="000000"/>
          <w:szCs w:val="20"/>
        </w:rPr>
        <w:t>Manter durante toda a vigência do contrato, em compatibilidade com as obrigações assumidas, todas as condições de habilitação e qualificação exigidas na licitação;</w:t>
      </w:r>
    </w:p>
    <w:p>
      <w:pPr>
        <w:pStyle w:val="ListParagraph"/>
        <w:numPr>
          <w:ilvl w:val="1"/>
          <w:numId w:val="2"/>
        </w:numPr>
        <w:spacing w:lineRule="auto" w:line="276" w:before="120" w:after="120"/>
        <w:ind w:left="425" w:right="0" w:hanging="0"/>
        <w:contextualSpacing w:val="false"/>
        <w:jc w:val="both"/>
        <w:rPr/>
      </w:pPr>
      <w:r>
        <w:rPr>
          <w:rFonts w:cs="Arial"/>
          <w:color w:val="000000"/>
          <w:szCs w:val="20"/>
        </w:rPr>
        <w:t>Cumprir, durante todo o período de execução do contrato, a reserva de cargos prevista em lei para pessoa com deficiência ou para reabilitado da Previdência Social, bem como as regras de acessibilidade previstas na legislação, quando a contratada houver se beneficiado da preferência estabelecida pela Lei nº 13.146, de 2015</w:t>
      </w:r>
      <w:r>
        <w:rPr>
          <w:rFonts w:cs="Arial"/>
          <w:i/>
          <w:iCs/>
          <w:color w:val="000000"/>
          <w:szCs w:val="20"/>
        </w:rPr>
        <w:t>.</w:t>
      </w:r>
    </w:p>
    <w:p>
      <w:pPr>
        <w:pStyle w:val="Normal"/>
        <w:numPr>
          <w:ilvl w:val="1"/>
          <w:numId w:val="2"/>
        </w:numPr>
        <w:spacing w:lineRule="auto" w:line="276" w:before="120" w:after="120"/>
        <w:ind w:left="425" w:right="0" w:hanging="0"/>
        <w:jc w:val="both"/>
        <w:rPr>
          <w:rFonts w:cs="Arial"/>
          <w:color w:val="000000"/>
          <w:szCs w:val="20"/>
        </w:rPr>
      </w:pPr>
      <w:r>
        <w:rPr>
          <w:rFonts w:cs="Arial"/>
          <w:color w:val="000000"/>
          <w:szCs w:val="20"/>
        </w:rPr>
        <w:t>Guardar sigilo sobre todas as informações obtidas em decorrência do cumprimento do contrato;</w:t>
      </w:r>
    </w:p>
    <w:p>
      <w:pPr>
        <w:pStyle w:val="Normal"/>
        <w:numPr>
          <w:ilvl w:val="1"/>
          <w:numId w:val="2"/>
        </w:numPr>
        <w:spacing w:lineRule="auto" w:line="276" w:before="120" w:after="120"/>
        <w:ind w:left="425" w:right="0" w:hanging="0"/>
        <w:jc w:val="both"/>
        <w:rPr>
          <w:rFonts w:cs="Arial"/>
          <w:color w:val="000000"/>
          <w:szCs w:val="20"/>
        </w:rPr>
      </w:pPr>
      <w:r>
        <w:rPr>
          <w:rFonts w:cs="Arial"/>
          <w:color w:val="000000"/>
          <w:szCs w:val="20"/>
        </w:rPr>
        <w:t>Arcar com o ônus decorrente de eventual equívoco no dimensionamento dos quantitativos de sua proposta, inclusive quanto aos custos variáveis decorrentes de fatores futuros e incertos, tais como os valores providos com o quantitativo de vale transporte, devendo complementá-los, caso o previsto inicialmente em sua proposta não seja satisfatório para o atendimento do objeto da licitação, exceto quando ocorrer algum dos eventos arrolados nos incisos do § 1º do art. 57 da Lei nº 8.666, de 1993.</w:t>
      </w:r>
    </w:p>
    <w:p>
      <w:pPr>
        <w:pStyle w:val="Normal"/>
        <w:numPr>
          <w:ilvl w:val="1"/>
          <w:numId w:val="2"/>
        </w:numPr>
        <w:spacing w:lineRule="auto" w:line="276" w:before="120" w:after="120"/>
        <w:ind w:left="425" w:right="0" w:hanging="0"/>
        <w:jc w:val="both"/>
        <w:rPr>
          <w:rFonts w:cs="Arial"/>
          <w:szCs w:val="20"/>
        </w:rPr>
      </w:pPr>
      <w:r>
        <w:rPr>
          <w:rFonts w:cs="Arial"/>
          <w:szCs w:val="20"/>
        </w:rPr>
        <w:t>Cumprir, além dos postulados legais vigentes de âmbito federal, estadual ou municipal, as normas de segurança da Contratante;</w:t>
      </w:r>
    </w:p>
    <w:p>
      <w:pPr>
        <w:pStyle w:val="Normal"/>
        <w:numPr>
          <w:ilvl w:val="1"/>
          <w:numId w:val="2"/>
        </w:numPr>
        <w:spacing w:lineRule="auto" w:line="276" w:before="120" w:after="120"/>
        <w:ind w:left="425" w:right="0" w:hanging="0"/>
        <w:jc w:val="both"/>
        <w:rPr>
          <w:rFonts w:cs="Arial"/>
          <w:szCs w:val="20"/>
        </w:rPr>
      </w:pPr>
      <w:r>
        <w:rPr>
          <w:rFonts w:cs="Arial"/>
          <w:szCs w:val="20"/>
        </w:rPr>
        <w:t>Prestar os serviços dentro dos parâmetros e rotinas estabelecidos, fornecendo todos os materiais, equipamentos e utensílios em quantidade, qualidade e tecnologia adequadas, com a observância às recomendações aceitas pela boa técnica, normas e legislação;</w:t>
      </w:r>
    </w:p>
    <w:p>
      <w:pPr>
        <w:pStyle w:val="Normal"/>
        <w:numPr>
          <w:ilvl w:val="1"/>
          <w:numId w:val="2"/>
        </w:numPr>
        <w:spacing w:lineRule="auto" w:line="276" w:before="120" w:after="120"/>
        <w:ind w:left="425" w:right="0" w:hanging="0"/>
        <w:jc w:val="both"/>
        <w:rPr>
          <w:rFonts w:cs="Arial"/>
          <w:szCs w:val="20"/>
        </w:rPr>
      </w:pPr>
      <w:r>
        <w:rPr>
          <w:rFonts w:cs="Arial"/>
          <w:szCs w:val="20"/>
        </w:rPr>
        <w:t>Assegurar à CONTRATANTE, em conformidade com o previsto no subitem 6.1, “a”e “b”, do Anexo VII – F da Instrução Normativa SEGES/MP nº 5, de 25/05/2017:</w:t>
      </w:r>
    </w:p>
    <w:p>
      <w:pPr>
        <w:pStyle w:val="Normal"/>
        <w:numPr>
          <w:ilvl w:val="2"/>
          <w:numId w:val="2"/>
        </w:numPr>
        <w:spacing w:lineRule="auto" w:line="276" w:before="120" w:after="120"/>
        <w:jc w:val="both"/>
        <w:rPr>
          <w:rFonts w:cs="Arial"/>
          <w:szCs w:val="20"/>
        </w:rPr>
      </w:pPr>
      <w:r>
        <w:rPr>
          <w:rFonts w:cs="Arial"/>
          <w:szCs w:val="20"/>
        </w:rPr>
        <w:t>O direito de propriedade intelectual dos produtos desenvolvidos, inclusive sobre as eventuais adequações e atualizações que vierem a ser realizadas, logo após o recebimento de cada parcela, de forma permanente, permitindo à Contratante distribuir, alterar e utilizar os mesmos sem limitações;</w:t>
      </w:r>
    </w:p>
    <w:p>
      <w:pPr>
        <w:pStyle w:val="Normal"/>
        <w:numPr>
          <w:ilvl w:val="2"/>
          <w:numId w:val="2"/>
        </w:numPr>
        <w:spacing w:lineRule="auto" w:line="276" w:before="120" w:after="120"/>
        <w:jc w:val="both"/>
        <w:rPr>
          <w:rFonts w:cs="Arial"/>
          <w:szCs w:val="20"/>
        </w:rPr>
      </w:pPr>
      <w:r>
        <w:rPr>
          <w:rFonts w:cs="Arial"/>
          <w:szCs w:val="20"/>
        </w:rPr>
        <w:t>Os direitos autorais da solução, do projeto, de suas especificações técnicas, da documentação produzida e congêneres, e de todos os demais produtos gerados na execução do contrato, inclusive aqueles produzidos por terceiros subcontratados, ficando proibida a sua utilização sem que exista autorização expressa da Contratante, sob pena de multa, sem prejuízo das sanções civis e penais cabíveis.</w:t>
      </w:r>
    </w:p>
    <w:p>
      <w:pPr>
        <w:pStyle w:val="Nivel1"/>
        <w:numPr>
          <w:ilvl w:val="0"/>
          <w:numId w:val="2"/>
        </w:numPr>
        <w:rPr>
          <w:rFonts w:cs="Arial"/>
        </w:rPr>
      </w:pPr>
      <w:r>
        <w:rPr>
          <w:rFonts w:cs="Arial"/>
        </w:rPr>
        <w:t>DA SUBCONTRATAÇÃO</w:t>
      </w:r>
    </w:p>
    <w:p>
      <w:pPr>
        <w:pStyle w:val="Nivel1"/>
        <w:numPr>
          <w:ilvl w:val="1"/>
          <w:numId w:val="2"/>
        </w:numPr>
        <w:rPr>
          <w:b w:val="false"/>
          <w:b w:val="false"/>
        </w:rPr>
      </w:pPr>
      <w:r>
        <w:rPr>
          <w:b w:val="false"/>
        </w:rPr>
        <w:t>Não será admitida a subcontratação do objeto licitatório.</w:t>
      </w:r>
    </w:p>
    <w:p>
      <w:pPr>
        <w:pStyle w:val="Nivel1"/>
        <w:numPr>
          <w:ilvl w:val="0"/>
          <w:numId w:val="2"/>
        </w:numPr>
        <w:rPr>
          <w:rFonts w:cs="Arial"/>
          <w:lang w:eastAsia="en-US"/>
        </w:rPr>
      </w:pPr>
      <w:r>
        <w:rPr>
          <w:rFonts w:cs="Arial"/>
          <w:lang w:eastAsia="en-US"/>
        </w:rPr>
        <w:t>ALTERAÇÃO SUBJETIVA</w:t>
      </w:r>
    </w:p>
    <w:p>
      <w:pPr>
        <w:pStyle w:val="Normal"/>
        <w:numPr>
          <w:ilvl w:val="1"/>
          <w:numId w:val="2"/>
        </w:numPr>
        <w:spacing w:lineRule="auto" w:line="276" w:before="120" w:after="120"/>
        <w:ind w:left="425" w:right="0" w:hanging="0"/>
        <w:jc w:val="both"/>
        <w:rPr>
          <w:rFonts w:cs="Arial"/>
          <w:szCs w:val="20"/>
          <w:lang w:eastAsia="en-US"/>
        </w:rPr>
      </w:pPr>
      <w:r>
        <w:rPr>
          <w:rFonts w:cs="Arial"/>
          <w:szCs w:val="20"/>
          <w:lang w:eastAsia="en-US"/>
        </w:rPr>
        <w:t>É admissível a fusão, cisão ou incorporação da contratada com/em outra pessoa jurídica, desde que sejam observados pela nova pessoa jurídica todos os requisitos de habilitação exigidos na licitação original; sejam mantidas as demais cláusulas e condições do contrato; não haja prejuízo à execução do objeto pactuado e haja a anuência expressa da Administração à continuidade do contrato.</w:t>
      </w:r>
    </w:p>
    <w:p>
      <w:pPr>
        <w:pStyle w:val="Nivel1"/>
        <w:numPr>
          <w:ilvl w:val="0"/>
          <w:numId w:val="2"/>
        </w:numPr>
        <w:rPr>
          <w:rFonts w:cs="Arial"/>
          <w:lang w:eastAsia="en-US"/>
        </w:rPr>
      </w:pPr>
      <w:r>
        <w:rPr>
          <w:rFonts w:cs="Arial"/>
          <w:lang w:eastAsia="en-US"/>
        </w:rPr>
        <w:t xml:space="preserve">CONTROLE E FISCALIZAÇÃO DA EXECUÇÃO </w:t>
      </w:r>
    </w:p>
    <w:p>
      <w:pPr>
        <w:pStyle w:val="ListParagraph"/>
        <w:widowControl w:val="false"/>
        <w:numPr>
          <w:ilvl w:val="1"/>
          <w:numId w:val="2"/>
        </w:numPr>
        <w:tabs>
          <w:tab w:val="clear" w:pos="708"/>
          <w:tab w:val="left" w:pos="1424" w:leader="none"/>
        </w:tabs>
        <w:spacing w:lineRule="auto" w:line="271" w:before="156" w:after="0"/>
        <w:ind w:left="716" w:right="235" w:hanging="432"/>
        <w:contextualSpacing w:val="false"/>
        <w:jc w:val="both"/>
        <w:rPr/>
      </w:pPr>
      <w:r>
        <w:rPr>
          <w:color w:val="000009"/>
        </w:rPr>
        <w:t>A fiscalização do contrato, ao verificar que houve subdimensionamento da produtividade pactuada,</w:t>
      </w:r>
      <w:r>
        <w:rPr>
          <w:color w:val="000009"/>
          <w:spacing w:val="1"/>
        </w:rPr>
        <w:t xml:space="preserve"> </w:t>
      </w:r>
      <w:r>
        <w:rPr>
          <w:color w:val="000009"/>
        </w:rPr>
        <w:t>sem perda da qualidade na execução do serviço, deverá comunicar à autoridade responsável para que esta</w:t>
      </w:r>
      <w:r>
        <w:rPr>
          <w:color w:val="000009"/>
          <w:spacing w:val="1"/>
        </w:rPr>
        <w:t xml:space="preserve"> </w:t>
      </w:r>
      <w:r>
        <w:rPr>
          <w:color w:val="000009"/>
        </w:rPr>
        <w:t>promova</w:t>
      </w:r>
      <w:r>
        <w:rPr>
          <w:color w:val="000009"/>
          <w:spacing w:val="-8"/>
        </w:rPr>
        <w:t xml:space="preserve"> </w:t>
      </w:r>
      <w:r>
        <w:rPr>
          <w:color w:val="000009"/>
        </w:rPr>
        <w:t>a</w:t>
      </w:r>
      <w:r>
        <w:rPr>
          <w:color w:val="000009"/>
          <w:spacing w:val="-10"/>
        </w:rPr>
        <w:t xml:space="preserve"> </w:t>
      </w:r>
      <w:r>
        <w:rPr>
          <w:color w:val="000009"/>
        </w:rPr>
        <w:t>adequação</w:t>
      </w:r>
      <w:r>
        <w:rPr>
          <w:color w:val="000009"/>
          <w:spacing w:val="-8"/>
        </w:rPr>
        <w:t xml:space="preserve"> </w:t>
      </w:r>
      <w:r>
        <w:rPr>
          <w:color w:val="000009"/>
        </w:rPr>
        <w:t>contratual</w:t>
      </w:r>
      <w:r>
        <w:rPr>
          <w:color w:val="000009"/>
          <w:spacing w:val="-9"/>
        </w:rPr>
        <w:t xml:space="preserve"> </w:t>
      </w:r>
      <w:r>
        <w:rPr>
          <w:color w:val="000009"/>
        </w:rPr>
        <w:t>à</w:t>
      </w:r>
      <w:r>
        <w:rPr>
          <w:color w:val="000009"/>
          <w:spacing w:val="-8"/>
        </w:rPr>
        <w:t xml:space="preserve"> </w:t>
      </w:r>
      <w:r>
        <w:rPr>
          <w:color w:val="000009"/>
        </w:rPr>
        <w:t>produtividade</w:t>
      </w:r>
      <w:r>
        <w:rPr>
          <w:color w:val="000009"/>
          <w:spacing w:val="-9"/>
        </w:rPr>
        <w:t xml:space="preserve"> </w:t>
      </w:r>
      <w:r>
        <w:rPr>
          <w:color w:val="000009"/>
        </w:rPr>
        <w:t>efetivamente</w:t>
      </w:r>
      <w:r>
        <w:rPr>
          <w:color w:val="000009"/>
          <w:spacing w:val="-9"/>
        </w:rPr>
        <w:t xml:space="preserve"> </w:t>
      </w:r>
      <w:r>
        <w:rPr>
          <w:color w:val="000009"/>
        </w:rPr>
        <w:t>realizada,</w:t>
      </w:r>
      <w:r>
        <w:rPr>
          <w:color w:val="000009"/>
          <w:spacing w:val="-8"/>
        </w:rPr>
        <w:t xml:space="preserve"> </w:t>
      </w:r>
      <w:r>
        <w:rPr>
          <w:color w:val="000009"/>
        </w:rPr>
        <w:t>respeitando-se</w:t>
      </w:r>
      <w:r>
        <w:rPr>
          <w:color w:val="000009"/>
          <w:spacing w:val="-8"/>
        </w:rPr>
        <w:t xml:space="preserve"> </w:t>
      </w:r>
      <w:r>
        <w:rPr>
          <w:color w:val="000009"/>
        </w:rPr>
        <w:t>os</w:t>
      </w:r>
      <w:r>
        <w:rPr>
          <w:color w:val="000009"/>
          <w:spacing w:val="-8"/>
        </w:rPr>
        <w:t xml:space="preserve"> </w:t>
      </w:r>
      <w:r>
        <w:rPr>
          <w:color w:val="000009"/>
        </w:rPr>
        <w:t>limites</w:t>
      </w:r>
      <w:r>
        <w:rPr>
          <w:color w:val="000009"/>
          <w:spacing w:val="-10"/>
        </w:rPr>
        <w:t xml:space="preserve"> </w:t>
      </w:r>
      <w:r>
        <w:rPr>
          <w:color w:val="000009"/>
        </w:rPr>
        <w:t>de</w:t>
      </w:r>
      <w:r>
        <w:rPr>
          <w:color w:val="000009"/>
          <w:spacing w:val="-9"/>
        </w:rPr>
        <w:t xml:space="preserve"> </w:t>
      </w:r>
      <w:r>
        <w:rPr>
          <w:color w:val="000009"/>
        </w:rPr>
        <w:t>alteração</w:t>
      </w:r>
      <w:r>
        <w:rPr>
          <w:color w:val="000009"/>
          <w:spacing w:val="-42"/>
        </w:rPr>
        <w:t xml:space="preserve"> </w:t>
      </w:r>
      <w:r>
        <w:rPr>
          <w:color w:val="000009"/>
        </w:rPr>
        <w:t>dos</w:t>
      </w:r>
      <w:r>
        <w:rPr>
          <w:color w:val="000009"/>
          <w:spacing w:val="-1"/>
        </w:rPr>
        <w:t xml:space="preserve"> </w:t>
      </w:r>
      <w:r>
        <w:rPr>
          <w:color w:val="000009"/>
        </w:rPr>
        <w:t>valores</w:t>
      </w:r>
      <w:r>
        <w:rPr>
          <w:color w:val="000009"/>
          <w:spacing w:val="-1"/>
        </w:rPr>
        <w:t xml:space="preserve"> </w:t>
      </w:r>
      <w:r>
        <w:rPr>
          <w:color w:val="000009"/>
        </w:rPr>
        <w:t>contratuais</w:t>
      </w:r>
      <w:r>
        <w:rPr>
          <w:color w:val="000009"/>
          <w:spacing w:val="-3"/>
        </w:rPr>
        <w:t xml:space="preserve"> </w:t>
      </w:r>
      <w:r>
        <w:rPr>
          <w:color w:val="000009"/>
        </w:rPr>
        <w:t>previstos no</w:t>
      </w:r>
      <w:r>
        <w:rPr>
          <w:color w:val="000009"/>
          <w:spacing w:val="-2"/>
        </w:rPr>
        <w:t xml:space="preserve"> </w:t>
      </w:r>
      <w:r>
        <w:rPr>
          <w:color w:val="000009"/>
        </w:rPr>
        <w:t>§</w:t>
      </w:r>
      <w:r>
        <w:rPr>
          <w:color w:val="000009"/>
          <w:spacing w:val="-1"/>
        </w:rPr>
        <w:t xml:space="preserve"> </w:t>
      </w:r>
      <w:r>
        <w:rPr>
          <w:color w:val="000009"/>
        </w:rPr>
        <w:t>1º</w:t>
      </w:r>
      <w:r>
        <w:rPr>
          <w:color w:val="000009"/>
          <w:spacing w:val="-2"/>
        </w:rPr>
        <w:t xml:space="preserve"> </w:t>
      </w:r>
      <w:r>
        <w:rPr>
          <w:color w:val="000009"/>
        </w:rPr>
        <w:t>do</w:t>
      </w:r>
      <w:r>
        <w:rPr>
          <w:color w:val="000009"/>
          <w:spacing w:val="-2"/>
        </w:rPr>
        <w:t xml:space="preserve"> </w:t>
      </w:r>
      <w:r>
        <w:rPr>
          <w:color w:val="000009"/>
        </w:rPr>
        <w:t>artigo 65</w:t>
      </w:r>
      <w:r>
        <w:rPr>
          <w:color w:val="000009"/>
          <w:spacing w:val="-1"/>
        </w:rPr>
        <w:t xml:space="preserve"> </w:t>
      </w:r>
      <w:r>
        <w:rPr>
          <w:color w:val="000009"/>
        </w:rPr>
        <w:t>da</w:t>
      </w:r>
      <w:r>
        <w:rPr>
          <w:color w:val="000009"/>
          <w:spacing w:val="-3"/>
        </w:rPr>
        <w:t xml:space="preserve"> </w:t>
      </w:r>
      <w:r>
        <w:rPr>
          <w:color w:val="000009"/>
        </w:rPr>
        <w:t>Lei</w:t>
      </w:r>
      <w:r>
        <w:rPr>
          <w:color w:val="000009"/>
          <w:spacing w:val="-3"/>
        </w:rPr>
        <w:t xml:space="preserve"> </w:t>
      </w:r>
      <w:r>
        <w:rPr>
          <w:color w:val="000009"/>
        </w:rPr>
        <w:t>nº 8.666,</w:t>
      </w:r>
      <w:r>
        <w:rPr>
          <w:color w:val="000009"/>
          <w:spacing w:val="-3"/>
        </w:rPr>
        <w:t xml:space="preserve"> </w:t>
      </w:r>
      <w:r>
        <w:rPr>
          <w:color w:val="000009"/>
        </w:rPr>
        <w:t>de</w:t>
      </w:r>
      <w:r>
        <w:rPr>
          <w:color w:val="000009"/>
          <w:spacing w:val="-2"/>
        </w:rPr>
        <w:t xml:space="preserve"> </w:t>
      </w:r>
      <w:r>
        <w:rPr>
          <w:color w:val="000009"/>
        </w:rPr>
        <w:t>1993.</w:t>
      </w:r>
    </w:p>
    <w:p>
      <w:pPr>
        <w:pStyle w:val="ListParagraph"/>
        <w:widowControl w:val="false"/>
        <w:numPr>
          <w:ilvl w:val="1"/>
          <w:numId w:val="2"/>
        </w:numPr>
        <w:tabs>
          <w:tab w:val="clear" w:pos="708"/>
          <w:tab w:val="left" w:pos="1424" w:leader="none"/>
        </w:tabs>
        <w:spacing w:lineRule="auto" w:line="271" w:before="119" w:after="0"/>
        <w:ind w:left="716" w:right="236" w:hanging="432"/>
        <w:contextualSpacing w:val="false"/>
        <w:jc w:val="both"/>
        <w:rPr/>
      </w:pPr>
      <w:r>
        <w:rPr>
          <w:color w:val="000009"/>
        </w:rPr>
        <w:t>A conformidade do material/técnica/equipamento a ser utilizado na execução dos serviços deverá ser</w:t>
      </w:r>
      <w:r>
        <w:rPr>
          <w:color w:val="000009"/>
          <w:spacing w:val="1"/>
        </w:rPr>
        <w:t xml:space="preserve"> </w:t>
      </w:r>
      <w:r>
        <w:rPr>
          <w:color w:val="000009"/>
        </w:rPr>
        <w:t>verificada juntamente com o documento da Contratada que contenha a relação detalhada dos mesmos, de</w:t>
      </w:r>
      <w:r>
        <w:rPr>
          <w:color w:val="000009"/>
          <w:spacing w:val="1"/>
        </w:rPr>
        <w:t xml:space="preserve"> </w:t>
      </w:r>
      <w:r>
        <w:rPr>
          <w:color w:val="000009"/>
        </w:rPr>
        <w:t>acordo</w:t>
      </w:r>
      <w:r>
        <w:rPr>
          <w:color w:val="000009"/>
          <w:spacing w:val="-5"/>
        </w:rPr>
        <w:t xml:space="preserve"> </w:t>
      </w:r>
      <w:r>
        <w:rPr>
          <w:color w:val="000009"/>
        </w:rPr>
        <w:t>com</w:t>
      </w:r>
      <w:r>
        <w:rPr>
          <w:color w:val="000009"/>
          <w:spacing w:val="-4"/>
        </w:rPr>
        <w:t xml:space="preserve"> </w:t>
      </w:r>
      <w:r>
        <w:rPr>
          <w:color w:val="000009"/>
        </w:rPr>
        <w:t>o</w:t>
      </w:r>
      <w:r>
        <w:rPr>
          <w:color w:val="000009"/>
          <w:spacing w:val="-5"/>
        </w:rPr>
        <w:t xml:space="preserve"> </w:t>
      </w:r>
      <w:r>
        <w:rPr>
          <w:color w:val="000009"/>
        </w:rPr>
        <w:t>estabelecido</w:t>
      </w:r>
      <w:r>
        <w:rPr>
          <w:color w:val="000009"/>
          <w:spacing w:val="-4"/>
        </w:rPr>
        <w:t xml:space="preserve"> </w:t>
      </w:r>
      <w:r>
        <w:rPr>
          <w:color w:val="000009"/>
        </w:rPr>
        <w:t>neste</w:t>
      </w:r>
      <w:r>
        <w:rPr>
          <w:color w:val="000009"/>
          <w:spacing w:val="-3"/>
        </w:rPr>
        <w:t xml:space="preserve"> </w:t>
      </w:r>
      <w:r>
        <w:rPr>
          <w:color w:val="000009"/>
        </w:rPr>
        <w:t>Termo</w:t>
      </w:r>
      <w:r>
        <w:rPr>
          <w:color w:val="000009"/>
          <w:spacing w:val="-5"/>
        </w:rPr>
        <w:t xml:space="preserve"> </w:t>
      </w:r>
      <w:r>
        <w:rPr>
          <w:color w:val="000009"/>
        </w:rPr>
        <w:t>de</w:t>
      </w:r>
      <w:r>
        <w:rPr>
          <w:color w:val="000009"/>
          <w:spacing w:val="-4"/>
        </w:rPr>
        <w:t xml:space="preserve"> </w:t>
      </w:r>
      <w:r>
        <w:rPr>
          <w:color w:val="000009"/>
        </w:rPr>
        <w:t>Referência,</w:t>
      </w:r>
      <w:r>
        <w:rPr>
          <w:color w:val="000009"/>
          <w:spacing w:val="-5"/>
        </w:rPr>
        <w:t xml:space="preserve"> </w:t>
      </w:r>
      <w:r>
        <w:rPr>
          <w:color w:val="000009"/>
        </w:rPr>
        <w:t>informando</w:t>
      </w:r>
      <w:r>
        <w:rPr>
          <w:color w:val="000009"/>
          <w:spacing w:val="-3"/>
        </w:rPr>
        <w:t xml:space="preserve"> </w:t>
      </w:r>
      <w:r>
        <w:rPr>
          <w:color w:val="000009"/>
        </w:rPr>
        <w:t>as</w:t>
      </w:r>
      <w:r>
        <w:rPr>
          <w:color w:val="000009"/>
          <w:spacing w:val="-4"/>
        </w:rPr>
        <w:t xml:space="preserve"> </w:t>
      </w:r>
      <w:r>
        <w:rPr>
          <w:color w:val="000009"/>
        </w:rPr>
        <w:t>respectivas</w:t>
      </w:r>
      <w:r>
        <w:rPr>
          <w:color w:val="000009"/>
          <w:spacing w:val="-3"/>
        </w:rPr>
        <w:t xml:space="preserve"> </w:t>
      </w:r>
      <w:r>
        <w:rPr>
          <w:color w:val="000009"/>
        </w:rPr>
        <w:t>quantidades</w:t>
      </w:r>
      <w:r>
        <w:rPr>
          <w:color w:val="000009"/>
          <w:spacing w:val="-4"/>
        </w:rPr>
        <w:t xml:space="preserve"> </w:t>
      </w:r>
      <w:r>
        <w:rPr>
          <w:color w:val="000009"/>
        </w:rPr>
        <w:t>e</w:t>
      </w:r>
      <w:r>
        <w:rPr>
          <w:color w:val="000009"/>
          <w:spacing w:val="-5"/>
        </w:rPr>
        <w:t xml:space="preserve"> </w:t>
      </w:r>
      <w:r>
        <w:rPr>
          <w:color w:val="000009"/>
        </w:rPr>
        <w:t>especificações</w:t>
      </w:r>
      <w:r>
        <w:rPr>
          <w:color w:val="000009"/>
          <w:spacing w:val="1"/>
        </w:rPr>
        <w:t xml:space="preserve"> </w:t>
      </w:r>
      <w:r>
        <w:rPr>
          <w:color w:val="000009"/>
        </w:rPr>
        <w:t>técnicas,</w:t>
      </w:r>
      <w:r>
        <w:rPr>
          <w:color w:val="000009"/>
          <w:spacing w:val="-1"/>
        </w:rPr>
        <w:t xml:space="preserve"> </w:t>
      </w:r>
      <w:r>
        <w:rPr>
          <w:color w:val="000009"/>
        </w:rPr>
        <w:t>tais</w:t>
      </w:r>
      <w:r>
        <w:rPr>
          <w:color w:val="000009"/>
          <w:spacing w:val="-2"/>
        </w:rPr>
        <w:t xml:space="preserve"> </w:t>
      </w:r>
      <w:r>
        <w:rPr>
          <w:color w:val="000009"/>
        </w:rPr>
        <w:t>como:</w:t>
      </w:r>
      <w:r>
        <w:rPr>
          <w:color w:val="000009"/>
          <w:spacing w:val="-1"/>
        </w:rPr>
        <w:t xml:space="preserve"> </w:t>
      </w:r>
      <w:r>
        <w:rPr>
          <w:color w:val="000009"/>
        </w:rPr>
        <w:t>marca,</w:t>
      </w:r>
      <w:r>
        <w:rPr>
          <w:color w:val="000009"/>
          <w:spacing w:val="-3"/>
        </w:rPr>
        <w:t xml:space="preserve"> </w:t>
      </w:r>
      <w:r>
        <w:rPr>
          <w:color w:val="000009"/>
        </w:rPr>
        <w:t>qualidade</w:t>
      </w:r>
      <w:r>
        <w:rPr>
          <w:color w:val="000009"/>
          <w:spacing w:val="-1"/>
        </w:rPr>
        <w:t xml:space="preserve"> </w:t>
      </w:r>
      <w:r>
        <w:rPr>
          <w:color w:val="000009"/>
        </w:rPr>
        <w:t>e forma</w:t>
      </w:r>
      <w:r>
        <w:rPr>
          <w:color w:val="000009"/>
          <w:spacing w:val="-2"/>
        </w:rPr>
        <w:t xml:space="preserve"> </w:t>
      </w:r>
      <w:r>
        <w:rPr>
          <w:color w:val="000009"/>
        </w:rPr>
        <w:t>de</w:t>
      </w:r>
      <w:r>
        <w:rPr>
          <w:color w:val="000009"/>
          <w:spacing w:val="-2"/>
        </w:rPr>
        <w:t xml:space="preserve"> </w:t>
      </w:r>
      <w:r>
        <w:rPr>
          <w:color w:val="000009"/>
        </w:rPr>
        <w:t>uso.</w:t>
      </w:r>
    </w:p>
    <w:p>
      <w:pPr>
        <w:pStyle w:val="ListParagraph"/>
        <w:widowControl w:val="false"/>
        <w:numPr>
          <w:ilvl w:val="1"/>
          <w:numId w:val="2"/>
        </w:numPr>
        <w:tabs>
          <w:tab w:val="clear" w:pos="708"/>
          <w:tab w:val="left" w:pos="1424" w:leader="none"/>
        </w:tabs>
        <w:spacing w:lineRule="auto" w:line="271" w:before="121" w:after="0"/>
        <w:ind w:left="716" w:right="243" w:hanging="432"/>
        <w:contextualSpacing w:val="false"/>
        <w:jc w:val="both"/>
        <w:rPr/>
      </w:pPr>
      <w:r>
        <w:rPr>
          <w:color w:val="000009"/>
        </w:rPr>
        <w:t>O representante da Contratante deverá promover o registro das ocorrências verificadas, adotando as</w:t>
      </w:r>
      <w:r>
        <w:rPr>
          <w:color w:val="000009"/>
          <w:spacing w:val="1"/>
        </w:rPr>
        <w:t xml:space="preserve"> </w:t>
      </w:r>
      <w:r>
        <w:rPr>
          <w:color w:val="000009"/>
        </w:rPr>
        <w:t>providências necessárias ao fiel cumprimento das cláusulas contratuais, conforme o disposto nos §§ 1º e 2º do</w:t>
      </w:r>
      <w:r>
        <w:rPr>
          <w:color w:val="000009"/>
          <w:spacing w:val="1"/>
        </w:rPr>
        <w:t xml:space="preserve"> </w:t>
      </w:r>
      <w:r>
        <w:rPr>
          <w:color w:val="000009"/>
        </w:rPr>
        <w:t>art.</w:t>
      </w:r>
      <w:r>
        <w:rPr>
          <w:color w:val="000009"/>
          <w:spacing w:val="-1"/>
        </w:rPr>
        <w:t xml:space="preserve"> </w:t>
      </w:r>
      <w:r>
        <w:rPr>
          <w:color w:val="000009"/>
        </w:rPr>
        <w:t>67</w:t>
      </w:r>
      <w:r>
        <w:rPr>
          <w:color w:val="000009"/>
          <w:spacing w:val="1"/>
        </w:rPr>
        <w:t xml:space="preserve"> </w:t>
      </w:r>
      <w:r>
        <w:rPr>
          <w:color w:val="000009"/>
        </w:rPr>
        <w:t>da Lei</w:t>
      </w:r>
      <w:r>
        <w:rPr>
          <w:color w:val="000009"/>
          <w:spacing w:val="-2"/>
        </w:rPr>
        <w:t xml:space="preserve"> </w:t>
      </w:r>
      <w:r>
        <w:rPr>
          <w:color w:val="000009"/>
        </w:rPr>
        <w:t>nº</w:t>
      </w:r>
      <w:r>
        <w:rPr>
          <w:color w:val="000009"/>
          <w:spacing w:val="-2"/>
        </w:rPr>
        <w:t xml:space="preserve"> </w:t>
      </w:r>
      <w:r>
        <w:rPr>
          <w:color w:val="000009"/>
        </w:rPr>
        <w:t>8.666, de 1993.</w:t>
      </w:r>
    </w:p>
    <w:p>
      <w:pPr>
        <w:pStyle w:val="ListParagraph"/>
        <w:numPr>
          <w:ilvl w:val="1"/>
          <w:numId w:val="2"/>
        </w:numPr>
        <w:tabs>
          <w:tab w:val="clear" w:pos="708"/>
          <w:tab w:val="left" w:pos="1424" w:leader="none"/>
        </w:tabs>
        <w:spacing w:lineRule="auto" w:line="271" w:before="125" w:after="0"/>
        <w:ind w:left="716" w:right="234" w:hanging="432"/>
        <w:contextualSpacing/>
        <w:rPr/>
      </w:pPr>
      <w:r>
        <w:rPr>
          <w:color w:val="000009"/>
        </w:rPr>
        <w:t>O</w:t>
      </w:r>
      <w:r>
        <w:rPr>
          <w:color w:val="000009"/>
          <w:spacing w:val="1"/>
        </w:rPr>
        <w:t xml:space="preserve"> </w:t>
      </w:r>
      <w:r>
        <w:rPr>
          <w:color w:val="000009"/>
        </w:rPr>
        <w:t>descumprimento</w:t>
      </w:r>
      <w:r>
        <w:rPr>
          <w:color w:val="000009"/>
          <w:spacing w:val="46"/>
        </w:rPr>
        <w:t xml:space="preserve"> </w:t>
      </w:r>
      <w:r>
        <w:rPr>
          <w:color w:val="000009"/>
        </w:rPr>
        <w:t>total</w:t>
      </w:r>
      <w:r>
        <w:rPr>
          <w:color w:val="000009"/>
          <w:spacing w:val="46"/>
        </w:rPr>
        <w:t xml:space="preserve"> </w:t>
      </w:r>
      <w:r>
        <w:rPr>
          <w:color w:val="000009"/>
        </w:rPr>
        <w:t>ou</w:t>
      </w:r>
      <w:r>
        <w:rPr>
          <w:color w:val="000009"/>
          <w:spacing w:val="46"/>
        </w:rPr>
        <w:t xml:space="preserve"> </w:t>
      </w:r>
      <w:r>
        <w:rPr>
          <w:color w:val="000009"/>
        </w:rPr>
        <w:t>parcial</w:t>
      </w:r>
      <w:r>
        <w:rPr>
          <w:color w:val="000009"/>
          <w:spacing w:val="46"/>
        </w:rPr>
        <w:t xml:space="preserve"> </w:t>
      </w:r>
      <w:r>
        <w:rPr>
          <w:color w:val="000009"/>
        </w:rPr>
        <w:t>das</w:t>
      </w:r>
      <w:r>
        <w:rPr>
          <w:color w:val="000009"/>
          <w:spacing w:val="46"/>
        </w:rPr>
        <w:t xml:space="preserve"> </w:t>
      </w:r>
      <w:r>
        <w:rPr>
          <w:color w:val="000009"/>
        </w:rPr>
        <w:t>obrigações</w:t>
      </w:r>
      <w:r>
        <w:rPr>
          <w:color w:val="000009"/>
          <w:spacing w:val="46"/>
        </w:rPr>
        <w:t xml:space="preserve"> </w:t>
      </w:r>
      <w:r>
        <w:rPr>
          <w:color w:val="000009"/>
        </w:rPr>
        <w:t>e</w:t>
      </w:r>
      <w:r>
        <w:rPr>
          <w:color w:val="000009"/>
          <w:spacing w:val="46"/>
        </w:rPr>
        <w:t xml:space="preserve"> </w:t>
      </w:r>
      <w:r>
        <w:rPr>
          <w:color w:val="000009"/>
        </w:rPr>
        <w:t>responsabilidades</w:t>
      </w:r>
      <w:r>
        <w:rPr>
          <w:color w:val="000009"/>
          <w:spacing w:val="46"/>
        </w:rPr>
        <w:t xml:space="preserve"> </w:t>
      </w:r>
      <w:r>
        <w:rPr>
          <w:color w:val="000009"/>
        </w:rPr>
        <w:t>assumidas</w:t>
      </w:r>
      <w:r>
        <w:rPr>
          <w:color w:val="000009"/>
          <w:spacing w:val="46"/>
        </w:rPr>
        <w:t xml:space="preserve"> </w:t>
      </w:r>
      <w:r>
        <w:rPr>
          <w:color w:val="000009"/>
        </w:rPr>
        <w:t>pela</w:t>
      </w:r>
      <w:r>
        <w:rPr>
          <w:color w:val="000009"/>
          <w:spacing w:val="1"/>
        </w:rPr>
        <w:t xml:space="preserve"> </w:t>
      </w:r>
      <w:r>
        <w:rPr>
          <w:color w:val="000009"/>
        </w:rPr>
        <w:t>Contratada</w:t>
      </w:r>
      <w:r>
        <w:rPr>
          <w:color w:val="000009"/>
          <w:spacing w:val="-8"/>
        </w:rPr>
        <w:t xml:space="preserve"> </w:t>
      </w:r>
      <w:r>
        <w:rPr>
          <w:color w:val="000009"/>
        </w:rPr>
        <w:t>ensejará</w:t>
      </w:r>
      <w:r>
        <w:rPr>
          <w:color w:val="000009"/>
          <w:spacing w:val="-7"/>
        </w:rPr>
        <w:t xml:space="preserve"> </w:t>
      </w:r>
      <w:r>
        <w:rPr>
          <w:color w:val="000009"/>
        </w:rPr>
        <w:t>a</w:t>
      </w:r>
      <w:r>
        <w:rPr>
          <w:color w:val="000009"/>
          <w:spacing w:val="-9"/>
        </w:rPr>
        <w:t xml:space="preserve"> </w:t>
      </w:r>
      <w:r>
        <w:rPr>
          <w:color w:val="000009"/>
        </w:rPr>
        <w:t>aplicação</w:t>
      </w:r>
      <w:r>
        <w:rPr>
          <w:color w:val="000009"/>
          <w:spacing w:val="-6"/>
        </w:rPr>
        <w:t xml:space="preserve"> </w:t>
      </w:r>
      <w:r>
        <w:rPr>
          <w:color w:val="000009"/>
        </w:rPr>
        <w:t>de</w:t>
      </w:r>
      <w:r>
        <w:rPr>
          <w:color w:val="000009"/>
          <w:spacing w:val="-7"/>
        </w:rPr>
        <w:t xml:space="preserve"> </w:t>
      </w:r>
      <w:r>
        <w:rPr>
          <w:color w:val="000009"/>
        </w:rPr>
        <w:t>sanções</w:t>
      </w:r>
      <w:r>
        <w:rPr>
          <w:color w:val="000009"/>
          <w:spacing w:val="-7"/>
        </w:rPr>
        <w:t xml:space="preserve"> </w:t>
      </w:r>
      <w:r>
        <w:rPr>
          <w:color w:val="000009"/>
        </w:rPr>
        <w:t>administrativas,</w:t>
      </w:r>
      <w:r>
        <w:rPr>
          <w:color w:val="000009"/>
          <w:spacing w:val="-9"/>
        </w:rPr>
        <w:t xml:space="preserve"> </w:t>
      </w:r>
      <w:r>
        <w:rPr>
          <w:color w:val="000009"/>
        </w:rPr>
        <w:t>previstas</w:t>
      </w:r>
      <w:r>
        <w:rPr>
          <w:color w:val="000009"/>
          <w:spacing w:val="-8"/>
        </w:rPr>
        <w:t xml:space="preserve"> </w:t>
      </w:r>
      <w:r>
        <w:rPr>
          <w:color w:val="000009"/>
        </w:rPr>
        <w:t>neste</w:t>
      </w:r>
      <w:r>
        <w:rPr>
          <w:color w:val="000009"/>
          <w:spacing w:val="-9"/>
        </w:rPr>
        <w:t xml:space="preserve"> </w:t>
      </w:r>
      <w:r>
        <w:rPr>
          <w:color w:val="000009"/>
        </w:rPr>
        <w:t>Termo</w:t>
      </w:r>
      <w:r>
        <w:rPr>
          <w:color w:val="000009"/>
          <w:spacing w:val="-7"/>
        </w:rPr>
        <w:t xml:space="preserve"> </w:t>
      </w:r>
      <w:r>
        <w:rPr>
          <w:color w:val="000009"/>
        </w:rPr>
        <w:t>de</w:t>
      </w:r>
      <w:r>
        <w:rPr>
          <w:color w:val="000009"/>
          <w:spacing w:val="-6"/>
        </w:rPr>
        <w:t xml:space="preserve"> </w:t>
      </w:r>
      <w:r>
        <w:rPr>
          <w:color w:val="000009"/>
        </w:rPr>
        <w:t>Referência</w:t>
      </w:r>
      <w:r>
        <w:rPr>
          <w:color w:val="000009"/>
          <w:spacing w:val="-9"/>
        </w:rPr>
        <w:t xml:space="preserve"> </w:t>
      </w:r>
      <w:r>
        <w:rPr>
          <w:color w:val="000009"/>
        </w:rPr>
        <w:t>e</w:t>
      </w:r>
      <w:r>
        <w:rPr>
          <w:color w:val="000009"/>
          <w:spacing w:val="-7"/>
        </w:rPr>
        <w:t xml:space="preserve"> </w:t>
      </w:r>
      <w:r>
        <w:rPr>
          <w:color w:val="000009"/>
        </w:rPr>
        <w:t>na</w:t>
      </w:r>
      <w:r>
        <w:rPr>
          <w:color w:val="000009"/>
          <w:spacing w:val="-7"/>
        </w:rPr>
        <w:t xml:space="preserve"> </w:t>
      </w:r>
      <w:r>
        <w:rPr>
          <w:color w:val="000009"/>
        </w:rPr>
        <w:t>legislação vigente, podendo culminar em rescisão contratual, conforme disposto nos artigos 77 e 87 da Lei nº 8.666, de 1993.</w:t>
      </w:r>
    </w:p>
    <w:p>
      <w:pPr>
        <w:pStyle w:val="ListParagraph"/>
        <w:widowControl w:val="false"/>
        <w:numPr>
          <w:ilvl w:val="1"/>
          <w:numId w:val="2"/>
        </w:numPr>
        <w:tabs>
          <w:tab w:val="clear" w:pos="708"/>
          <w:tab w:val="left" w:pos="856" w:leader="none"/>
        </w:tabs>
        <w:spacing w:lineRule="auto" w:line="271" w:before="119" w:after="0"/>
        <w:ind w:left="716" w:right="807" w:hanging="432"/>
        <w:contextualSpacing w:val="false"/>
        <w:jc w:val="both"/>
        <w:rPr/>
      </w:pPr>
      <w:r>
        <w:rPr>
          <w:color w:val="000009"/>
        </w:rPr>
        <w:t xml:space="preserve">       </w:t>
      </w:r>
      <w:r>
        <w:rPr>
          <w:color w:val="000009"/>
        </w:rPr>
        <w:t>As</w:t>
      </w:r>
      <w:r>
        <w:rPr>
          <w:color w:val="000009"/>
          <w:spacing w:val="1"/>
        </w:rPr>
        <w:t xml:space="preserve"> </w:t>
      </w:r>
      <w:r>
        <w:rPr>
          <w:color w:val="000009"/>
        </w:rPr>
        <w:t>atividades</w:t>
      </w:r>
      <w:r>
        <w:rPr>
          <w:color w:val="000009"/>
          <w:spacing w:val="1"/>
        </w:rPr>
        <w:t xml:space="preserve"> </w:t>
      </w:r>
      <w:r>
        <w:rPr>
          <w:color w:val="000009"/>
        </w:rPr>
        <w:t>de</w:t>
      </w:r>
      <w:r>
        <w:rPr>
          <w:color w:val="000009"/>
          <w:spacing w:val="1"/>
        </w:rPr>
        <w:t xml:space="preserve"> </w:t>
      </w:r>
      <w:r>
        <w:rPr>
          <w:color w:val="000009"/>
        </w:rPr>
        <w:t>gestão</w:t>
      </w:r>
      <w:r>
        <w:rPr>
          <w:color w:val="000009"/>
          <w:spacing w:val="1"/>
        </w:rPr>
        <w:t xml:space="preserve"> </w:t>
      </w:r>
      <w:r>
        <w:rPr>
          <w:color w:val="000009"/>
        </w:rPr>
        <w:t>e</w:t>
      </w:r>
      <w:r>
        <w:rPr>
          <w:color w:val="000009"/>
          <w:spacing w:val="1"/>
        </w:rPr>
        <w:t xml:space="preserve"> </w:t>
      </w:r>
      <w:r>
        <w:rPr>
          <w:color w:val="000009"/>
        </w:rPr>
        <w:t>fiscalização</w:t>
      </w:r>
      <w:r>
        <w:rPr>
          <w:color w:val="000009"/>
          <w:spacing w:val="1"/>
        </w:rPr>
        <w:t xml:space="preserve"> </w:t>
      </w:r>
      <w:r>
        <w:rPr>
          <w:color w:val="000009"/>
        </w:rPr>
        <w:t>da</w:t>
      </w:r>
      <w:r>
        <w:rPr>
          <w:color w:val="000009"/>
          <w:spacing w:val="1"/>
        </w:rPr>
        <w:t xml:space="preserve"> </w:t>
      </w:r>
      <w:r>
        <w:rPr>
          <w:color w:val="000009"/>
        </w:rPr>
        <w:t>execução</w:t>
      </w:r>
      <w:r>
        <w:rPr>
          <w:color w:val="000009"/>
          <w:spacing w:val="1"/>
        </w:rPr>
        <w:t xml:space="preserve"> </w:t>
      </w:r>
      <w:r>
        <w:rPr>
          <w:color w:val="000009"/>
        </w:rPr>
        <w:t>contratual</w:t>
      </w:r>
      <w:r>
        <w:rPr>
          <w:color w:val="000009"/>
          <w:spacing w:val="1"/>
        </w:rPr>
        <w:t xml:space="preserve"> </w:t>
      </w:r>
      <w:r>
        <w:rPr>
          <w:color w:val="000009"/>
        </w:rPr>
        <w:t>devem</w:t>
      </w:r>
      <w:r>
        <w:rPr>
          <w:color w:val="000009"/>
          <w:spacing w:val="1"/>
        </w:rPr>
        <w:t xml:space="preserve"> </w:t>
      </w:r>
      <w:r>
        <w:rPr>
          <w:color w:val="000009"/>
        </w:rPr>
        <w:t>ser</w:t>
      </w:r>
      <w:r>
        <w:rPr>
          <w:color w:val="000009"/>
          <w:spacing w:val="1"/>
        </w:rPr>
        <w:t xml:space="preserve"> </w:t>
      </w:r>
      <w:r>
        <w:rPr>
          <w:color w:val="000009"/>
        </w:rPr>
        <w:t>realizadas</w:t>
      </w:r>
      <w:r>
        <w:rPr>
          <w:color w:val="000009"/>
          <w:spacing w:val="1"/>
        </w:rPr>
        <w:t xml:space="preserve"> </w:t>
      </w:r>
      <w:r>
        <w:rPr>
          <w:color w:val="000009"/>
        </w:rPr>
        <w:t>de</w:t>
      </w:r>
      <w:r>
        <w:rPr>
          <w:color w:val="000009"/>
          <w:spacing w:val="1"/>
        </w:rPr>
        <w:t xml:space="preserve"> </w:t>
      </w:r>
      <w:r>
        <w:rPr>
          <w:color w:val="000009"/>
        </w:rPr>
        <w:t>forma</w:t>
      </w:r>
      <w:r>
        <w:rPr>
          <w:color w:val="000009"/>
          <w:spacing w:val="1"/>
        </w:rPr>
        <w:t xml:space="preserve"> </w:t>
      </w:r>
      <w:r>
        <w:rPr>
          <w:color w:val="000009"/>
        </w:rPr>
        <w:t>preventiva, rotineira e sistemática, podendo ser exercidas por servidores, equipe de fiscalização ou único</w:t>
      </w:r>
      <w:r>
        <w:rPr>
          <w:color w:val="000009"/>
          <w:spacing w:val="1"/>
        </w:rPr>
        <w:t xml:space="preserve"> </w:t>
      </w:r>
      <w:r>
        <w:rPr>
          <w:color w:val="000009"/>
        </w:rPr>
        <w:t>servidor, desde que, no exercício dessas atribuições, fique assegurada a distinção dessas atividades e, em razão</w:t>
      </w:r>
      <w:r>
        <w:rPr>
          <w:color w:val="000009"/>
          <w:spacing w:val="-43"/>
        </w:rPr>
        <w:t xml:space="preserve"> </w:t>
      </w:r>
      <w:r>
        <w:rPr>
          <w:color w:val="000009"/>
        </w:rPr>
        <w:t>do</w:t>
      </w:r>
      <w:r>
        <w:rPr>
          <w:color w:val="000009"/>
          <w:spacing w:val="-6"/>
        </w:rPr>
        <w:t xml:space="preserve"> </w:t>
      </w:r>
      <w:r>
        <w:rPr>
          <w:color w:val="000009"/>
        </w:rPr>
        <w:t>volume</w:t>
      </w:r>
      <w:r>
        <w:rPr>
          <w:color w:val="000009"/>
          <w:spacing w:val="-4"/>
        </w:rPr>
        <w:t xml:space="preserve"> </w:t>
      </w:r>
      <w:r>
        <w:rPr>
          <w:color w:val="000009"/>
        </w:rPr>
        <w:t>de</w:t>
      </w:r>
      <w:r>
        <w:rPr>
          <w:color w:val="000009"/>
          <w:spacing w:val="-4"/>
        </w:rPr>
        <w:t xml:space="preserve"> </w:t>
      </w:r>
      <w:r>
        <w:rPr>
          <w:color w:val="000009"/>
        </w:rPr>
        <w:t>trabalho,</w:t>
      </w:r>
      <w:r>
        <w:rPr>
          <w:color w:val="000009"/>
          <w:spacing w:val="-4"/>
        </w:rPr>
        <w:t xml:space="preserve"> </w:t>
      </w:r>
      <w:r>
        <w:rPr>
          <w:color w:val="000009"/>
        </w:rPr>
        <w:t>não</w:t>
      </w:r>
      <w:r>
        <w:rPr>
          <w:color w:val="000009"/>
          <w:spacing w:val="-4"/>
        </w:rPr>
        <w:t xml:space="preserve"> </w:t>
      </w:r>
      <w:r>
        <w:rPr>
          <w:color w:val="000009"/>
        </w:rPr>
        <w:t>comprometa</w:t>
      </w:r>
      <w:r>
        <w:rPr>
          <w:color w:val="000009"/>
          <w:spacing w:val="-6"/>
        </w:rPr>
        <w:t xml:space="preserve"> </w:t>
      </w:r>
      <w:r>
        <w:rPr>
          <w:color w:val="000009"/>
        </w:rPr>
        <w:t>o</w:t>
      </w:r>
      <w:r>
        <w:rPr>
          <w:color w:val="000009"/>
          <w:spacing w:val="-4"/>
        </w:rPr>
        <w:t xml:space="preserve"> </w:t>
      </w:r>
      <w:r>
        <w:rPr>
          <w:color w:val="000009"/>
        </w:rPr>
        <w:t>desempenho</w:t>
      </w:r>
      <w:r>
        <w:rPr>
          <w:color w:val="000009"/>
          <w:spacing w:val="-5"/>
        </w:rPr>
        <w:t xml:space="preserve"> </w:t>
      </w:r>
      <w:r>
        <w:rPr>
          <w:color w:val="000009"/>
        </w:rPr>
        <w:t>de</w:t>
      </w:r>
      <w:r>
        <w:rPr>
          <w:color w:val="000009"/>
          <w:spacing w:val="-5"/>
        </w:rPr>
        <w:t xml:space="preserve"> </w:t>
      </w:r>
      <w:r>
        <w:rPr>
          <w:color w:val="000009"/>
        </w:rPr>
        <w:t>todas</w:t>
      </w:r>
      <w:r>
        <w:rPr>
          <w:color w:val="000009"/>
          <w:spacing w:val="-6"/>
        </w:rPr>
        <w:t xml:space="preserve"> </w:t>
      </w:r>
      <w:r>
        <w:rPr>
          <w:color w:val="000009"/>
        </w:rPr>
        <w:t>as</w:t>
      </w:r>
      <w:r>
        <w:rPr>
          <w:color w:val="000009"/>
          <w:spacing w:val="-4"/>
        </w:rPr>
        <w:t xml:space="preserve"> </w:t>
      </w:r>
      <w:r>
        <w:rPr>
          <w:color w:val="000009"/>
        </w:rPr>
        <w:t>ações</w:t>
      </w:r>
      <w:r>
        <w:rPr>
          <w:color w:val="000009"/>
          <w:spacing w:val="-6"/>
        </w:rPr>
        <w:t xml:space="preserve"> </w:t>
      </w:r>
      <w:r>
        <w:rPr>
          <w:color w:val="000009"/>
        </w:rPr>
        <w:t>relacionadas</w:t>
      </w:r>
      <w:r>
        <w:rPr>
          <w:color w:val="000009"/>
          <w:spacing w:val="-4"/>
        </w:rPr>
        <w:t xml:space="preserve"> </w:t>
      </w:r>
      <w:r>
        <w:rPr>
          <w:color w:val="000009"/>
        </w:rPr>
        <w:t>à</w:t>
      </w:r>
      <w:r>
        <w:rPr>
          <w:color w:val="000009"/>
          <w:spacing w:val="-6"/>
        </w:rPr>
        <w:t xml:space="preserve"> </w:t>
      </w:r>
      <w:r>
        <w:rPr>
          <w:color w:val="000009"/>
        </w:rPr>
        <w:t>Gestão</w:t>
      </w:r>
      <w:r>
        <w:rPr>
          <w:color w:val="000009"/>
          <w:spacing w:val="-4"/>
        </w:rPr>
        <w:t xml:space="preserve"> </w:t>
      </w:r>
      <w:r>
        <w:rPr>
          <w:color w:val="000009"/>
        </w:rPr>
        <w:t>do</w:t>
      </w:r>
      <w:r>
        <w:rPr>
          <w:color w:val="000009"/>
          <w:spacing w:val="-4"/>
        </w:rPr>
        <w:t xml:space="preserve"> </w:t>
      </w:r>
      <w:r>
        <w:rPr>
          <w:color w:val="000009"/>
        </w:rPr>
        <w:t>Contrato.</w:t>
      </w:r>
    </w:p>
    <w:p>
      <w:pPr>
        <w:pStyle w:val="ListParagraph"/>
        <w:widowControl w:val="false"/>
        <w:numPr>
          <w:ilvl w:val="1"/>
          <w:numId w:val="2"/>
        </w:numPr>
        <w:tabs>
          <w:tab w:val="clear" w:pos="708"/>
          <w:tab w:val="left" w:pos="856" w:leader="none"/>
        </w:tabs>
        <w:spacing w:before="119" w:after="0"/>
        <w:contextualSpacing w:val="false"/>
        <w:jc w:val="both"/>
        <w:rPr/>
      </w:pPr>
      <w:r>
        <w:rPr>
          <w:color w:val="000009"/>
        </w:rPr>
        <w:t xml:space="preserve">     </w:t>
      </w:r>
      <w:r>
        <w:rPr>
          <w:color w:val="000009"/>
        </w:rPr>
        <w:t>A</w:t>
      </w:r>
      <w:r>
        <w:rPr>
          <w:color w:val="000009"/>
          <w:spacing w:val="-8"/>
        </w:rPr>
        <w:t xml:space="preserve"> </w:t>
      </w:r>
      <w:r>
        <w:rPr>
          <w:color w:val="000009"/>
        </w:rPr>
        <w:t>fiscalização</w:t>
      </w:r>
      <w:r>
        <w:rPr>
          <w:color w:val="000009"/>
          <w:spacing w:val="-8"/>
        </w:rPr>
        <w:t xml:space="preserve"> </w:t>
      </w:r>
      <w:r>
        <w:rPr>
          <w:color w:val="000009"/>
        </w:rPr>
        <w:t>técnica</w:t>
      </w:r>
      <w:r>
        <w:rPr>
          <w:color w:val="000009"/>
          <w:spacing w:val="-7"/>
        </w:rPr>
        <w:t xml:space="preserve"> </w:t>
      </w:r>
      <w:r>
        <w:rPr>
          <w:color w:val="000009"/>
        </w:rPr>
        <w:t>dos</w:t>
      </w:r>
      <w:r>
        <w:rPr>
          <w:color w:val="000009"/>
          <w:spacing w:val="-10"/>
        </w:rPr>
        <w:t xml:space="preserve"> </w:t>
      </w:r>
      <w:r>
        <w:rPr>
          <w:color w:val="000009"/>
        </w:rPr>
        <w:t>contratos</w:t>
      </w:r>
      <w:r>
        <w:rPr>
          <w:color w:val="000009"/>
          <w:spacing w:val="-9"/>
        </w:rPr>
        <w:t xml:space="preserve"> </w:t>
      </w:r>
      <w:r>
        <w:rPr>
          <w:color w:val="000009"/>
        </w:rPr>
        <w:t>avaliará</w:t>
      </w:r>
      <w:r>
        <w:rPr>
          <w:color w:val="000009"/>
          <w:spacing w:val="-9"/>
        </w:rPr>
        <w:t xml:space="preserve"> </w:t>
      </w:r>
      <w:r>
        <w:rPr>
          <w:color w:val="000009"/>
        </w:rPr>
        <w:t>constantemente</w:t>
      </w:r>
      <w:r>
        <w:rPr>
          <w:color w:val="000009"/>
          <w:spacing w:val="-8"/>
        </w:rPr>
        <w:t xml:space="preserve"> </w:t>
      </w:r>
      <w:r>
        <w:rPr>
          <w:color w:val="000009"/>
        </w:rPr>
        <w:t>a</w:t>
      </w:r>
      <w:r>
        <w:rPr>
          <w:color w:val="000009"/>
          <w:spacing w:val="-9"/>
        </w:rPr>
        <w:t xml:space="preserve"> </w:t>
      </w:r>
      <w:r>
        <w:rPr>
          <w:color w:val="000009"/>
        </w:rPr>
        <w:t>execução</w:t>
      </w:r>
      <w:r>
        <w:rPr>
          <w:color w:val="000009"/>
          <w:spacing w:val="-9"/>
        </w:rPr>
        <w:t xml:space="preserve"> </w:t>
      </w:r>
      <w:r>
        <w:rPr>
          <w:color w:val="000009"/>
        </w:rPr>
        <w:t>do</w:t>
      </w:r>
      <w:r>
        <w:rPr>
          <w:color w:val="000009"/>
          <w:spacing w:val="-8"/>
        </w:rPr>
        <w:t xml:space="preserve"> </w:t>
      </w:r>
      <w:r>
        <w:rPr>
          <w:color w:val="000009"/>
        </w:rPr>
        <w:t>objeto.</w:t>
      </w:r>
    </w:p>
    <w:p>
      <w:pPr>
        <w:pStyle w:val="ListParagraph"/>
        <w:widowControl w:val="false"/>
        <w:numPr>
          <w:ilvl w:val="1"/>
          <w:numId w:val="2"/>
        </w:numPr>
        <w:tabs>
          <w:tab w:val="clear" w:pos="708"/>
          <w:tab w:val="left" w:pos="856" w:leader="none"/>
        </w:tabs>
        <w:spacing w:lineRule="auto" w:line="271" w:before="163" w:after="0"/>
        <w:ind w:left="716" w:right="808" w:hanging="432"/>
        <w:contextualSpacing w:val="false"/>
        <w:jc w:val="both"/>
        <w:rPr/>
      </w:pPr>
      <w:r>
        <w:rPr>
          <w:color w:val="000009"/>
        </w:rPr>
        <w:t xml:space="preserve">    </w:t>
      </w:r>
      <w:r>
        <w:rPr>
          <w:color w:val="000009"/>
        </w:rPr>
        <w:t>Durante a execução do objeto, o fiscal técnico deverá monitorar constantemente o nível de qualidade</w:t>
      </w:r>
      <w:r>
        <w:rPr>
          <w:color w:val="000009"/>
          <w:spacing w:val="1"/>
        </w:rPr>
        <w:t xml:space="preserve"> </w:t>
      </w:r>
      <w:r>
        <w:rPr>
          <w:color w:val="000009"/>
        </w:rPr>
        <w:t>dos serviços para evitar a sua degeneração, devendo intervir para requerer à CONTRATADA a correção das</w:t>
      </w:r>
      <w:r>
        <w:rPr>
          <w:color w:val="000009"/>
          <w:spacing w:val="1"/>
        </w:rPr>
        <w:t xml:space="preserve"> </w:t>
      </w:r>
      <w:r>
        <w:rPr>
          <w:color w:val="000009"/>
        </w:rPr>
        <w:t>faltas,</w:t>
      </w:r>
      <w:r>
        <w:rPr>
          <w:color w:val="000009"/>
          <w:spacing w:val="-3"/>
        </w:rPr>
        <w:t xml:space="preserve"> </w:t>
      </w:r>
      <w:r>
        <w:rPr>
          <w:color w:val="000009"/>
        </w:rPr>
        <w:t>falhas e</w:t>
      </w:r>
      <w:r>
        <w:rPr>
          <w:color w:val="000009"/>
          <w:spacing w:val="-2"/>
        </w:rPr>
        <w:t xml:space="preserve"> </w:t>
      </w:r>
      <w:r>
        <w:rPr>
          <w:color w:val="000009"/>
        </w:rPr>
        <w:t>irregularidades constatadas.</w:t>
      </w:r>
    </w:p>
    <w:p>
      <w:pPr>
        <w:pStyle w:val="ListParagraph"/>
        <w:widowControl w:val="false"/>
        <w:numPr>
          <w:ilvl w:val="1"/>
          <w:numId w:val="2"/>
        </w:numPr>
        <w:tabs>
          <w:tab w:val="clear" w:pos="708"/>
          <w:tab w:val="left" w:pos="856" w:leader="none"/>
        </w:tabs>
        <w:spacing w:lineRule="auto" w:line="264" w:before="119" w:after="0"/>
        <w:ind w:left="716" w:right="809" w:hanging="432"/>
        <w:contextualSpacing w:val="false"/>
        <w:jc w:val="both"/>
        <w:rPr/>
      </w:pPr>
      <w:r>
        <w:rPr>
          <w:color w:val="000009"/>
        </w:rPr>
        <w:t xml:space="preserve">           </w:t>
      </w:r>
      <w:r>
        <w:rPr>
          <w:color w:val="000009"/>
        </w:rPr>
        <w:t>O</w:t>
      </w:r>
      <w:r>
        <w:rPr>
          <w:color w:val="000009"/>
          <w:spacing w:val="-4"/>
        </w:rPr>
        <w:t xml:space="preserve"> </w:t>
      </w:r>
      <w:r>
        <w:rPr>
          <w:color w:val="000009"/>
        </w:rPr>
        <w:t>fiscal</w:t>
      </w:r>
      <w:r>
        <w:rPr>
          <w:color w:val="000009"/>
          <w:spacing w:val="-4"/>
        </w:rPr>
        <w:t xml:space="preserve"> </w:t>
      </w:r>
      <w:r>
        <w:rPr>
          <w:color w:val="000009"/>
        </w:rPr>
        <w:t>técnico</w:t>
      </w:r>
      <w:r>
        <w:rPr>
          <w:color w:val="000009"/>
          <w:spacing w:val="-2"/>
        </w:rPr>
        <w:t xml:space="preserve"> </w:t>
      </w:r>
      <w:r>
        <w:rPr>
          <w:color w:val="000009"/>
        </w:rPr>
        <w:t>deverá</w:t>
      </w:r>
      <w:r>
        <w:rPr>
          <w:color w:val="000009"/>
          <w:spacing w:val="-5"/>
        </w:rPr>
        <w:t xml:space="preserve"> </w:t>
      </w:r>
      <w:r>
        <w:rPr>
          <w:color w:val="000009"/>
        </w:rPr>
        <w:t>apresentar</w:t>
      </w:r>
      <w:r>
        <w:rPr>
          <w:color w:val="000009"/>
          <w:spacing w:val="-4"/>
        </w:rPr>
        <w:t xml:space="preserve"> </w:t>
      </w:r>
      <w:r>
        <w:rPr>
          <w:color w:val="000009"/>
        </w:rPr>
        <w:t>ao</w:t>
      </w:r>
      <w:r>
        <w:rPr>
          <w:color w:val="000009"/>
          <w:spacing w:val="-4"/>
        </w:rPr>
        <w:t xml:space="preserve"> </w:t>
      </w:r>
      <w:r>
        <w:rPr>
          <w:color w:val="000009"/>
        </w:rPr>
        <w:t>preposto</w:t>
      </w:r>
      <w:r>
        <w:rPr>
          <w:color w:val="000009"/>
          <w:spacing w:val="-4"/>
        </w:rPr>
        <w:t xml:space="preserve"> </w:t>
      </w:r>
      <w:r>
        <w:rPr>
          <w:color w:val="000009"/>
        </w:rPr>
        <w:t>da</w:t>
      </w:r>
      <w:r>
        <w:rPr>
          <w:color w:val="000009"/>
          <w:spacing w:val="-4"/>
        </w:rPr>
        <w:t xml:space="preserve"> </w:t>
      </w:r>
      <w:r>
        <w:rPr>
          <w:color w:val="000009"/>
        </w:rPr>
        <w:t>CONTRATADA</w:t>
      </w:r>
      <w:r>
        <w:rPr>
          <w:color w:val="000009"/>
          <w:spacing w:val="-4"/>
        </w:rPr>
        <w:t xml:space="preserve"> </w:t>
      </w:r>
      <w:r>
        <w:rPr>
          <w:color w:val="000009"/>
        </w:rPr>
        <w:t>a</w:t>
      </w:r>
      <w:r>
        <w:rPr>
          <w:color w:val="000009"/>
          <w:spacing w:val="-5"/>
        </w:rPr>
        <w:t xml:space="preserve"> </w:t>
      </w:r>
      <w:r>
        <w:rPr>
          <w:color w:val="000009"/>
        </w:rPr>
        <w:t>avaliação</w:t>
      </w:r>
      <w:r>
        <w:rPr>
          <w:color w:val="000009"/>
          <w:spacing w:val="-4"/>
        </w:rPr>
        <w:t xml:space="preserve"> </w:t>
      </w:r>
      <w:r>
        <w:rPr>
          <w:color w:val="000009"/>
        </w:rPr>
        <w:t>da</w:t>
      </w:r>
      <w:r>
        <w:rPr>
          <w:color w:val="000009"/>
          <w:spacing w:val="-4"/>
        </w:rPr>
        <w:t xml:space="preserve"> </w:t>
      </w:r>
      <w:r>
        <w:rPr>
          <w:color w:val="000009"/>
        </w:rPr>
        <w:t>execução</w:t>
      </w:r>
      <w:r>
        <w:rPr>
          <w:color w:val="000009"/>
          <w:spacing w:val="-2"/>
        </w:rPr>
        <w:t xml:space="preserve"> </w:t>
      </w:r>
      <w:r>
        <w:rPr>
          <w:color w:val="000009"/>
        </w:rPr>
        <w:t>do</w:t>
      </w:r>
      <w:r>
        <w:rPr>
          <w:color w:val="000009"/>
          <w:spacing w:val="-4"/>
        </w:rPr>
        <w:t xml:space="preserve"> </w:t>
      </w:r>
      <w:r>
        <w:rPr>
          <w:color w:val="000009"/>
        </w:rPr>
        <w:t>objeto</w:t>
      </w:r>
      <w:r>
        <w:rPr>
          <w:color w:val="000009"/>
          <w:spacing w:val="-5"/>
        </w:rPr>
        <w:t xml:space="preserve"> </w:t>
      </w:r>
      <w:r>
        <w:rPr>
          <w:color w:val="000009"/>
        </w:rPr>
        <w:t>ou,</w:t>
      </w:r>
      <w:r>
        <w:rPr>
          <w:color w:val="000009"/>
          <w:spacing w:val="-42"/>
        </w:rPr>
        <w:t xml:space="preserve"> </w:t>
      </w:r>
      <w:r>
        <w:rPr>
          <w:color w:val="000009"/>
        </w:rPr>
        <w:t>se</w:t>
      </w:r>
      <w:r>
        <w:rPr>
          <w:color w:val="000009"/>
          <w:spacing w:val="-2"/>
        </w:rPr>
        <w:t xml:space="preserve"> </w:t>
      </w:r>
      <w:r>
        <w:rPr>
          <w:color w:val="000009"/>
        </w:rPr>
        <w:t>for</w:t>
      </w:r>
      <w:r>
        <w:rPr>
          <w:color w:val="000009"/>
          <w:spacing w:val="-3"/>
        </w:rPr>
        <w:t xml:space="preserve"> </w:t>
      </w:r>
      <w:r>
        <w:rPr>
          <w:color w:val="000009"/>
        </w:rPr>
        <w:t>o</w:t>
      </w:r>
      <w:r>
        <w:rPr>
          <w:color w:val="000009"/>
          <w:spacing w:val="-1"/>
        </w:rPr>
        <w:t xml:space="preserve"> </w:t>
      </w:r>
      <w:r>
        <w:rPr>
          <w:color w:val="000009"/>
        </w:rPr>
        <w:t>caso,</w:t>
      </w:r>
      <w:r>
        <w:rPr>
          <w:color w:val="000009"/>
          <w:spacing w:val="-3"/>
        </w:rPr>
        <w:t xml:space="preserve"> </w:t>
      </w:r>
      <w:r>
        <w:rPr>
          <w:color w:val="000009"/>
        </w:rPr>
        <w:t>a</w:t>
      </w:r>
      <w:r>
        <w:rPr>
          <w:color w:val="000009"/>
          <w:spacing w:val="-2"/>
        </w:rPr>
        <w:t xml:space="preserve"> </w:t>
      </w:r>
      <w:r>
        <w:rPr>
          <w:color w:val="000009"/>
        </w:rPr>
        <w:t>avaliação</w:t>
      </w:r>
      <w:r>
        <w:rPr>
          <w:color w:val="000009"/>
          <w:spacing w:val="-2"/>
        </w:rPr>
        <w:t xml:space="preserve"> </w:t>
      </w:r>
      <w:r>
        <w:rPr>
          <w:color w:val="000009"/>
        </w:rPr>
        <w:t>de</w:t>
      </w:r>
      <w:r>
        <w:rPr>
          <w:color w:val="000009"/>
          <w:spacing w:val="-2"/>
        </w:rPr>
        <w:t xml:space="preserve"> </w:t>
      </w:r>
      <w:r>
        <w:rPr>
          <w:color w:val="000009"/>
        </w:rPr>
        <w:t>desempenho</w:t>
      </w:r>
      <w:r>
        <w:rPr>
          <w:color w:val="000009"/>
          <w:spacing w:val="-1"/>
        </w:rPr>
        <w:t xml:space="preserve"> </w:t>
      </w:r>
      <w:r>
        <w:rPr>
          <w:color w:val="000009"/>
        </w:rPr>
        <w:t>e</w:t>
      </w:r>
      <w:r>
        <w:rPr>
          <w:color w:val="000009"/>
          <w:spacing w:val="-2"/>
        </w:rPr>
        <w:t xml:space="preserve"> </w:t>
      </w:r>
      <w:r>
        <w:rPr>
          <w:color w:val="000009"/>
        </w:rPr>
        <w:t>qualidade</w:t>
      </w:r>
      <w:r>
        <w:rPr>
          <w:color w:val="000009"/>
          <w:spacing w:val="-2"/>
        </w:rPr>
        <w:t xml:space="preserve"> </w:t>
      </w:r>
      <w:r>
        <w:rPr>
          <w:color w:val="000009"/>
        </w:rPr>
        <w:t>da</w:t>
      </w:r>
      <w:r>
        <w:rPr>
          <w:color w:val="000009"/>
          <w:spacing w:val="-1"/>
        </w:rPr>
        <w:t xml:space="preserve"> </w:t>
      </w:r>
      <w:r>
        <w:rPr>
          <w:color w:val="000009"/>
        </w:rPr>
        <w:t>prestação</w:t>
      </w:r>
      <w:r>
        <w:rPr>
          <w:color w:val="000009"/>
          <w:spacing w:val="-1"/>
        </w:rPr>
        <w:t xml:space="preserve"> </w:t>
      </w:r>
      <w:r>
        <w:rPr>
          <w:color w:val="000009"/>
        </w:rPr>
        <w:t>dos</w:t>
      </w:r>
      <w:r>
        <w:rPr>
          <w:color w:val="000009"/>
          <w:spacing w:val="-3"/>
        </w:rPr>
        <w:t xml:space="preserve"> </w:t>
      </w:r>
      <w:r>
        <w:rPr>
          <w:color w:val="000009"/>
        </w:rPr>
        <w:t>serviços</w:t>
      </w:r>
      <w:r>
        <w:rPr>
          <w:color w:val="000009"/>
          <w:spacing w:val="-2"/>
        </w:rPr>
        <w:t xml:space="preserve"> </w:t>
      </w:r>
      <w:r>
        <w:rPr>
          <w:color w:val="000009"/>
        </w:rPr>
        <w:t>realizada.</w:t>
      </w:r>
    </w:p>
    <w:p>
      <w:pPr>
        <w:pStyle w:val="ListParagraph"/>
        <w:widowControl w:val="false"/>
        <w:numPr>
          <w:ilvl w:val="1"/>
          <w:numId w:val="2"/>
        </w:numPr>
        <w:tabs>
          <w:tab w:val="clear" w:pos="708"/>
          <w:tab w:val="left" w:pos="856" w:leader="none"/>
        </w:tabs>
        <w:spacing w:lineRule="auto" w:line="271" w:before="127" w:after="0"/>
        <w:ind w:left="716" w:right="807" w:hanging="432"/>
        <w:contextualSpacing w:val="false"/>
        <w:jc w:val="both"/>
        <w:rPr/>
      </w:pPr>
      <w:r>
        <w:rPr>
          <w:color w:val="000009"/>
        </w:rPr>
        <w:t>Em</w:t>
      </w:r>
      <w:r>
        <w:rPr>
          <w:color w:val="000009"/>
          <w:spacing w:val="1"/>
        </w:rPr>
        <w:t xml:space="preserve"> </w:t>
      </w:r>
      <w:r>
        <w:rPr>
          <w:color w:val="000009"/>
        </w:rPr>
        <w:t>hipótese</w:t>
      </w:r>
      <w:r>
        <w:rPr>
          <w:color w:val="000009"/>
          <w:spacing w:val="1"/>
        </w:rPr>
        <w:t xml:space="preserve"> </w:t>
      </w:r>
      <w:r>
        <w:rPr>
          <w:color w:val="000009"/>
        </w:rPr>
        <w:t>alguma,</w:t>
      </w:r>
      <w:r>
        <w:rPr>
          <w:color w:val="000009"/>
          <w:spacing w:val="1"/>
        </w:rPr>
        <w:t xml:space="preserve"> </w:t>
      </w:r>
      <w:r>
        <w:rPr>
          <w:color w:val="000009"/>
        </w:rPr>
        <w:t>será</w:t>
      </w:r>
      <w:r>
        <w:rPr>
          <w:color w:val="000009"/>
          <w:spacing w:val="1"/>
        </w:rPr>
        <w:t xml:space="preserve"> </w:t>
      </w:r>
      <w:r>
        <w:rPr>
          <w:color w:val="000009"/>
        </w:rPr>
        <w:t>admitido</w:t>
      </w:r>
      <w:r>
        <w:rPr>
          <w:color w:val="000009"/>
          <w:spacing w:val="1"/>
        </w:rPr>
        <w:t xml:space="preserve"> </w:t>
      </w:r>
      <w:r>
        <w:rPr>
          <w:color w:val="000009"/>
        </w:rPr>
        <w:t>que</w:t>
      </w:r>
      <w:r>
        <w:rPr>
          <w:color w:val="000009"/>
          <w:spacing w:val="1"/>
        </w:rPr>
        <w:t xml:space="preserve"> </w:t>
      </w:r>
      <w:r>
        <w:rPr>
          <w:color w:val="000009"/>
        </w:rPr>
        <w:t>a</w:t>
      </w:r>
      <w:r>
        <w:rPr>
          <w:color w:val="000009"/>
          <w:spacing w:val="1"/>
        </w:rPr>
        <w:t xml:space="preserve"> </w:t>
      </w:r>
      <w:r>
        <w:rPr>
          <w:color w:val="000009"/>
        </w:rPr>
        <w:t>própria</w:t>
      </w:r>
      <w:r>
        <w:rPr>
          <w:color w:val="000009"/>
          <w:spacing w:val="1"/>
        </w:rPr>
        <w:t xml:space="preserve"> </w:t>
      </w:r>
      <w:r>
        <w:rPr>
          <w:color w:val="000009"/>
        </w:rPr>
        <w:t>CONTRATADA</w:t>
      </w:r>
      <w:r>
        <w:rPr>
          <w:color w:val="000009"/>
          <w:spacing w:val="1"/>
        </w:rPr>
        <w:t xml:space="preserve"> </w:t>
      </w:r>
      <w:r>
        <w:rPr>
          <w:color w:val="000009"/>
        </w:rPr>
        <w:t>materialize</w:t>
      </w:r>
      <w:r>
        <w:rPr>
          <w:color w:val="000009"/>
          <w:spacing w:val="1"/>
        </w:rPr>
        <w:t xml:space="preserve"> </w:t>
      </w:r>
      <w:r>
        <w:rPr>
          <w:color w:val="000009"/>
        </w:rPr>
        <w:t>a</w:t>
      </w:r>
      <w:r>
        <w:rPr>
          <w:color w:val="000009"/>
          <w:spacing w:val="1"/>
        </w:rPr>
        <w:t xml:space="preserve"> </w:t>
      </w:r>
      <w:r>
        <w:rPr>
          <w:color w:val="000009"/>
        </w:rPr>
        <w:t>avaliação</w:t>
      </w:r>
      <w:r>
        <w:rPr>
          <w:color w:val="000009"/>
          <w:spacing w:val="1"/>
        </w:rPr>
        <w:t xml:space="preserve"> </w:t>
      </w:r>
      <w:r>
        <w:rPr>
          <w:color w:val="000009"/>
        </w:rPr>
        <w:t>de</w:t>
      </w:r>
      <w:r>
        <w:rPr>
          <w:color w:val="000009"/>
          <w:spacing w:val="1"/>
        </w:rPr>
        <w:t xml:space="preserve"> </w:t>
      </w:r>
      <w:r>
        <w:rPr>
          <w:color w:val="000009"/>
        </w:rPr>
        <w:t>desempenho</w:t>
      </w:r>
      <w:r>
        <w:rPr>
          <w:color w:val="000009"/>
          <w:spacing w:val="-1"/>
        </w:rPr>
        <w:t xml:space="preserve"> </w:t>
      </w:r>
      <w:r>
        <w:rPr>
          <w:color w:val="000009"/>
        </w:rPr>
        <w:t>e</w:t>
      </w:r>
      <w:r>
        <w:rPr>
          <w:color w:val="000009"/>
          <w:spacing w:val="-1"/>
        </w:rPr>
        <w:t xml:space="preserve"> </w:t>
      </w:r>
      <w:r>
        <w:rPr>
          <w:color w:val="000009"/>
        </w:rPr>
        <w:t>qualidade</w:t>
      </w:r>
      <w:r>
        <w:rPr>
          <w:color w:val="000009"/>
          <w:spacing w:val="-2"/>
        </w:rPr>
        <w:t xml:space="preserve"> </w:t>
      </w:r>
      <w:r>
        <w:rPr>
          <w:color w:val="000009"/>
        </w:rPr>
        <w:t>da</w:t>
      </w:r>
      <w:r>
        <w:rPr>
          <w:color w:val="000009"/>
          <w:spacing w:val="-2"/>
        </w:rPr>
        <w:t xml:space="preserve"> </w:t>
      </w:r>
      <w:r>
        <w:rPr>
          <w:color w:val="000009"/>
        </w:rPr>
        <w:t>prestação</w:t>
      </w:r>
      <w:r>
        <w:rPr>
          <w:color w:val="000009"/>
          <w:spacing w:val="-1"/>
        </w:rPr>
        <w:t xml:space="preserve"> </w:t>
      </w:r>
      <w:r>
        <w:rPr>
          <w:color w:val="000009"/>
        </w:rPr>
        <w:t>dos serviços realizada.</w:t>
      </w:r>
    </w:p>
    <w:p>
      <w:pPr>
        <w:pStyle w:val="ListParagraph"/>
        <w:widowControl w:val="false"/>
        <w:numPr>
          <w:ilvl w:val="1"/>
          <w:numId w:val="2"/>
        </w:numPr>
        <w:tabs>
          <w:tab w:val="clear" w:pos="708"/>
          <w:tab w:val="left" w:pos="856" w:leader="none"/>
        </w:tabs>
        <w:spacing w:lineRule="auto" w:line="271" w:before="123" w:after="0"/>
        <w:ind w:left="716" w:right="806" w:hanging="432"/>
        <w:contextualSpacing w:val="false"/>
        <w:jc w:val="both"/>
        <w:rPr/>
      </w:pPr>
      <w:r>
        <w:rPr>
          <w:color w:val="000009"/>
        </w:rPr>
        <w:t xml:space="preserve">           </w:t>
      </w:r>
      <w:r>
        <w:rPr>
          <w:color w:val="000009"/>
        </w:rPr>
        <w:t>A CONTRATADA poderá apresentar justificativa para a prestação do serviço com menor nível de</w:t>
      </w:r>
      <w:r>
        <w:rPr>
          <w:color w:val="000009"/>
          <w:spacing w:val="1"/>
        </w:rPr>
        <w:t xml:space="preserve"> </w:t>
      </w:r>
      <w:r>
        <w:rPr>
          <w:color w:val="000009"/>
        </w:rPr>
        <w:t>conformidade,</w:t>
      </w:r>
      <w:r>
        <w:rPr>
          <w:color w:val="000009"/>
          <w:spacing w:val="1"/>
        </w:rPr>
        <w:t xml:space="preserve"> </w:t>
      </w:r>
      <w:r>
        <w:rPr>
          <w:color w:val="000009"/>
        </w:rPr>
        <w:t>que</w:t>
      </w:r>
      <w:r>
        <w:rPr>
          <w:color w:val="000009"/>
          <w:spacing w:val="1"/>
        </w:rPr>
        <w:t xml:space="preserve"> </w:t>
      </w:r>
      <w:r>
        <w:rPr>
          <w:color w:val="000009"/>
        </w:rPr>
        <w:t>poderá</w:t>
      </w:r>
      <w:r>
        <w:rPr>
          <w:color w:val="000009"/>
          <w:spacing w:val="1"/>
        </w:rPr>
        <w:t xml:space="preserve"> </w:t>
      </w:r>
      <w:r>
        <w:rPr>
          <w:color w:val="000009"/>
        </w:rPr>
        <w:t>ser</w:t>
      </w:r>
      <w:r>
        <w:rPr>
          <w:color w:val="000009"/>
          <w:spacing w:val="1"/>
        </w:rPr>
        <w:t xml:space="preserve"> </w:t>
      </w:r>
      <w:r>
        <w:rPr>
          <w:color w:val="000009"/>
        </w:rPr>
        <w:t>aceita</w:t>
      </w:r>
      <w:r>
        <w:rPr>
          <w:color w:val="000009"/>
          <w:spacing w:val="1"/>
        </w:rPr>
        <w:t xml:space="preserve"> </w:t>
      </w:r>
      <w:r>
        <w:rPr>
          <w:color w:val="000009"/>
        </w:rPr>
        <w:t>pelo</w:t>
      </w:r>
      <w:r>
        <w:rPr>
          <w:color w:val="000009"/>
          <w:spacing w:val="1"/>
        </w:rPr>
        <w:t xml:space="preserve"> </w:t>
      </w:r>
      <w:r>
        <w:rPr>
          <w:color w:val="000009"/>
        </w:rPr>
        <w:t>fiscal</w:t>
      </w:r>
      <w:r>
        <w:rPr>
          <w:color w:val="000009"/>
          <w:spacing w:val="1"/>
        </w:rPr>
        <w:t xml:space="preserve"> </w:t>
      </w:r>
      <w:r>
        <w:rPr>
          <w:color w:val="000009"/>
        </w:rPr>
        <w:t>técnico,</w:t>
      </w:r>
      <w:r>
        <w:rPr>
          <w:color w:val="000009"/>
          <w:spacing w:val="1"/>
        </w:rPr>
        <w:t xml:space="preserve"> </w:t>
      </w:r>
      <w:r>
        <w:rPr>
          <w:color w:val="000009"/>
        </w:rPr>
        <w:t>desde</w:t>
      </w:r>
      <w:r>
        <w:rPr>
          <w:color w:val="000009"/>
          <w:spacing w:val="1"/>
        </w:rPr>
        <w:t xml:space="preserve"> </w:t>
      </w:r>
      <w:r>
        <w:rPr>
          <w:color w:val="000009"/>
        </w:rPr>
        <w:t>que</w:t>
      </w:r>
      <w:r>
        <w:rPr>
          <w:color w:val="000009"/>
          <w:spacing w:val="1"/>
        </w:rPr>
        <w:t xml:space="preserve"> </w:t>
      </w:r>
      <w:r>
        <w:rPr>
          <w:color w:val="000009"/>
        </w:rPr>
        <w:t>comprovada</w:t>
      </w:r>
      <w:r>
        <w:rPr>
          <w:color w:val="000009"/>
          <w:spacing w:val="1"/>
        </w:rPr>
        <w:t xml:space="preserve"> </w:t>
      </w:r>
      <w:r>
        <w:rPr>
          <w:color w:val="000009"/>
        </w:rPr>
        <w:t>a</w:t>
      </w:r>
      <w:r>
        <w:rPr>
          <w:color w:val="000009"/>
          <w:spacing w:val="1"/>
        </w:rPr>
        <w:t xml:space="preserve"> </w:t>
      </w:r>
      <w:r>
        <w:rPr>
          <w:color w:val="000009"/>
        </w:rPr>
        <w:t>excepcionalidade</w:t>
      </w:r>
      <w:r>
        <w:rPr>
          <w:color w:val="000009"/>
          <w:spacing w:val="1"/>
        </w:rPr>
        <w:t xml:space="preserve"> </w:t>
      </w:r>
      <w:r>
        <w:rPr>
          <w:color w:val="000009"/>
        </w:rPr>
        <w:t>da</w:t>
      </w:r>
      <w:r>
        <w:rPr>
          <w:color w:val="000009"/>
          <w:spacing w:val="1"/>
        </w:rPr>
        <w:t xml:space="preserve"> </w:t>
      </w:r>
      <w:r>
        <w:rPr>
          <w:color w:val="000009"/>
        </w:rPr>
        <w:t>ocorrência,</w:t>
      </w:r>
      <w:r>
        <w:rPr>
          <w:color w:val="000009"/>
          <w:spacing w:val="-6"/>
        </w:rPr>
        <w:t xml:space="preserve"> </w:t>
      </w:r>
      <w:r>
        <w:rPr>
          <w:color w:val="000009"/>
        </w:rPr>
        <w:t>resultante</w:t>
      </w:r>
      <w:r>
        <w:rPr>
          <w:color w:val="000009"/>
          <w:spacing w:val="-3"/>
        </w:rPr>
        <w:t xml:space="preserve"> </w:t>
      </w:r>
      <w:r>
        <w:rPr>
          <w:color w:val="000009"/>
        </w:rPr>
        <w:t>exclusivamente</w:t>
      </w:r>
      <w:r>
        <w:rPr>
          <w:color w:val="000009"/>
          <w:spacing w:val="-4"/>
        </w:rPr>
        <w:t xml:space="preserve"> </w:t>
      </w:r>
      <w:r>
        <w:rPr>
          <w:color w:val="000009"/>
        </w:rPr>
        <w:t>de</w:t>
      </w:r>
      <w:r>
        <w:rPr>
          <w:color w:val="000009"/>
          <w:spacing w:val="-4"/>
        </w:rPr>
        <w:t xml:space="preserve"> </w:t>
      </w:r>
      <w:r>
        <w:rPr>
          <w:color w:val="000009"/>
        </w:rPr>
        <w:t>fatores</w:t>
      </w:r>
      <w:r>
        <w:rPr>
          <w:color w:val="000009"/>
          <w:spacing w:val="-3"/>
        </w:rPr>
        <w:t xml:space="preserve"> </w:t>
      </w:r>
      <w:r>
        <w:rPr>
          <w:color w:val="000009"/>
        </w:rPr>
        <w:t>imprevisíveis</w:t>
      </w:r>
      <w:r>
        <w:rPr>
          <w:color w:val="000009"/>
          <w:spacing w:val="-5"/>
        </w:rPr>
        <w:t xml:space="preserve"> </w:t>
      </w:r>
      <w:r>
        <w:rPr>
          <w:color w:val="000009"/>
        </w:rPr>
        <w:t>e</w:t>
      </w:r>
      <w:r>
        <w:rPr>
          <w:color w:val="000009"/>
          <w:spacing w:val="-3"/>
        </w:rPr>
        <w:t xml:space="preserve"> </w:t>
      </w:r>
      <w:r>
        <w:rPr>
          <w:color w:val="000009"/>
        </w:rPr>
        <w:t>alheios</w:t>
      </w:r>
      <w:r>
        <w:rPr>
          <w:color w:val="000009"/>
          <w:spacing w:val="-5"/>
        </w:rPr>
        <w:t xml:space="preserve"> </w:t>
      </w:r>
      <w:r>
        <w:rPr>
          <w:color w:val="000009"/>
        </w:rPr>
        <w:t>ao</w:t>
      </w:r>
      <w:r>
        <w:rPr>
          <w:color w:val="000009"/>
          <w:spacing w:val="-5"/>
        </w:rPr>
        <w:t xml:space="preserve"> </w:t>
      </w:r>
      <w:r>
        <w:rPr>
          <w:color w:val="000009"/>
        </w:rPr>
        <w:t>controle</w:t>
      </w:r>
      <w:r>
        <w:rPr>
          <w:color w:val="000009"/>
          <w:spacing w:val="-3"/>
        </w:rPr>
        <w:t xml:space="preserve"> </w:t>
      </w:r>
      <w:r>
        <w:rPr>
          <w:color w:val="000009"/>
        </w:rPr>
        <w:t>do</w:t>
      </w:r>
      <w:r>
        <w:rPr>
          <w:color w:val="000009"/>
          <w:spacing w:val="-3"/>
        </w:rPr>
        <w:t xml:space="preserve"> </w:t>
      </w:r>
      <w:r>
        <w:rPr>
          <w:color w:val="000009"/>
        </w:rPr>
        <w:t>prestador.</w:t>
      </w:r>
    </w:p>
    <w:p>
      <w:pPr>
        <w:pStyle w:val="ListParagraph"/>
        <w:widowControl w:val="false"/>
        <w:numPr>
          <w:ilvl w:val="1"/>
          <w:numId w:val="2"/>
        </w:numPr>
        <w:tabs>
          <w:tab w:val="clear" w:pos="708"/>
          <w:tab w:val="left" w:pos="856" w:leader="none"/>
        </w:tabs>
        <w:spacing w:lineRule="auto" w:line="271" w:before="125" w:after="0"/>
        <w:ind w:left="716" w:right="802" w:hanging="432"/>
        <w:contextualSpacing w:val="false"/>
        <w:jc w:val="both"/>
        <w:rPr/>
      </w:pPr>
      <w:r>
        <w:rPr>
          <w:color w:val="000009"/>
        </w:rPr>
        <w:t xml:space="preserve">          </w:t>
      </w:r>
      <w:r>
        <w:rPr>
          <w:color w:val="000009"/>
        </w:rPr>
        <w:t>Na hipótese de comportamento contínuo de desconformidade da prestação do serviço em relação à</w:t>
      </w:r>
      <w:r>
        <w:rPr>
          <w:color w:val="000009"/>
          <w:spacing w:val="1"/>
        </w:rPr>
        <w:t xml:space="preserve"> </w:t>
      </w:r>
      <w:r>
        <w:rPr>
          <w:color w:val="000009"/>
        </w:rPr>
        <w:t>qualidade exigida, bem como quando esta ultrapassar os níveis mínimos toleráveis previstos nos indicadores,</w:t>
      </w:r>
      <w:r>
        <w:rPr>
          <w:color w:val="000009"/>
          <w:spacing w:val="1"/>
        </w:rPr>
        <w:t xml:space="preserve"> </w:t>
      </w:r>
      <w:r>
        <w:rPr>
          <w:color w:val="000009"/>
        </w:rPr>
        <w:t>além dos fatores redutores, devem ser aplicadas as sanções à CONTRATADA de acordo com as regras previstas</w:t>
      </w:r>
      <w:r>
        <w:rPr>
          <w:color w:val="000009"/>
          <w:spacing w:val="1"/>
        </w:rPr>
        <w:t xml:space="preserve"> </w:t>
      </w:r>
      <w:r>
        <w:rPr>
          <w:color w:val="000009"/>
        </w:rPr>
        <w:t>neste</w:t>
      </w:r>
      <w:r>
        <w:rPr>
          <w:color w:val="000009"/>
          <w:spacing w:val="-2"/>
        </w:rPr>
        <w:t xml:space="preserve"> </w:t>
      </w:r>
      <w:r>
        <w:rPr>
          <w:color w:val="000009"/>
        </w:rPr>
        <w:t>Termo de Referência.</w:t>
      </w:r>
    </w:p>
    <w:p>
      <w:pPr>
        <w:pStyle w:val="ListParagraph"/>
        <w:widowControl w:val="false"/>
        <w:numPr>
          <w:ilvl w:val="1"/>
          <w:numId w:val="2"/>
        </w:numPr>
        <w:tabs>
          <w:tab w:val="clear" w:pos="708"/>
          <w:tab w:val="left" w:pos="856" w:leader="none"/>
        </w:tabs>
        <w:spacing w:lineRule="auto" w:line="264" w:before="121" w:after="0"/>
        <w:ind w:left="716" w:right="807" w:hanging="432"/>
        <w:contextualSpacing w:val="false"/>
        <w:jc w:val="both"/>
        <w:rPr/>
      </w:pPr>
      <w:r>
        <w:rPr>
          <w:color w:val="000009"/>
        </w:rPr>
        <w:t xml:space="preserve">         </w:t>
      </w:r>
      <w:r>
        <w:rPr>
          <w:color w:val="000009"/>
        </w:rPr>
        <w:t>O fiscal técnico poderá realizar avaliação diária, semanal ou mensal, desde que o período escolhido</w:t>
      </w:r>
      <w:r>
        <w:rPr>
          <w:color w:val="000009"/>
          <w:spacing w:val="1"/>
        </w:rPr>
        <w:t xml:space="preserve"> </w:t>
      </w:r>
      <w:r>
        <w:rPr>
          <w:color w:val="000009"/>
        </w:rPr>
        <w:t>seja</w:t>
      </w:r>
      <w:r>
        <w:rPr>
          <w:color w:val="000009"/>
          <w:spacing w:val="-3"/>
        </w:rPr>
        <w:t xml:space="preserve"> </w:t>
      </w:r>
      <w:r>
        <w:rPr>
          <w:color w:val="000009"/>
        </w:rPr>
        <w:t>suficiente</w:t>
      </w:r>
      <w:r>
        <w:rPr>
          <w:color w:val="000009"/>
          <w:spacing w:val="-3"/>
        </w:rPr>
        <w:t xml:space="preserve"> </w:t>
      </w:r>
      <w:r>
        <w:rPr>
          <w:color w:val="000009"/>
        </w:rPr>
        <w:t>para</w:t>
      </w:r>
      <w:r>
        <w:rPr>
          <w:color w:val="000009"/>
          <w:spacing w:val="-4"/>
        </w:rPr>
        <w:t xml:space="preserve"> </w:t>
      </w:r>
      <w:r>
        <w:rPr>
          <w:color w:val="000009"/>
        </w:rPr>
        <w:t>avaliar</w:t>
      </w:r>
      <w:r>
        <w:rPr>
          <w:color w:val="000009"/>
          <w:spacing w:val="-5"/>
        </w:rPr>
        <w:t xml:space="preserve"> </w:t>
      </w:r>
      <w:r>
        <w:rPr>
          <w:color w:val="000009"/>
        </w:rPr>
        <w:t>ou,</w:t>
      </w:r>
      <w:r>
        <w:rPr>
          <w:color w:val="000009"/>
          <w:spacing w:val="-4"/>
        </w:rPr>
        <w:t xml:space="preserve"> </w:t>
      </w:r>
      <w:r>
        <w:rPr>
          <w:color w:val="000009"/>
        </w:rPr>
        <w:t>se</w:t>
      </w:r>
      <w:r>
        <w:rPr>
          <w:color w:val="000009"/>
          <w:spacing w:val="-3"/>
        </w:rPr>
        <w:t xml:space="preserve"> </w:t>
      </w:r>
      <w:r>
        <w:rPr>
          <w:color w:val="000009"/>
        </w:rPr>
        <w:t>for</w:t>
      </w:r>
      <w:r>
        <w:rPr>
          <w:color w:val="000009"/>
          <w:spacing w:val="-4"/>
        </w:rPr>
        <w:t xml:space="preserve"> </w:t>
      </w:r>
      <w:r>
        <w:rPr>
          <w:color w:val="000009"/>
        </w:rPr>
        <w:t>o</w:t>
      </w:r>
      <w:r>
        <w:rPr>
          <w:color w:val="000009"/>
          <w:spacing w:val="-3"/>
        </w:rPr>
        <w:t xml:space="preserve"> </w:t>
      </w:r>
      <w:r>
        <w:rPr>
          <w:color w:val="000009"/>
        </w:rPr>
        <w:t>caso,</w:t>
      </w:r>
      <w:r>
        <w:rPr>
          <w:color w:val="000009"/>
          <w:spacing w:val="-5"/>
        </w:rPr>
        <w:t xml:space="preserve"> </w:t>
      </w:r>
      <w:r>
        <w:rPr>
          <w:color w:val="000009"/>
        </w:rPr>
        <w:t>aferir</w:t>
      </w:r>
      <w:r>
        <w:rPr>
          <w:color w:val="000009"/>
          <w:spacing w:val="-2"/>
        </w:rPr>
        <w:t xml:space="preserve"> </w:t>
      </w:r>
      <w:r>
        <w:rPr>
          <w:color w:val="000009"/>
        </w:rPr>
        <w:t>o</w:t>
      </w:r>
      <w:r>
        <w:rPr>
          <w:color w:val="000009"/>
          <w:spacing w:val="-4"/>
        </w:rPr>
        <w:t xml:space="preserve"> </w:t>
      </w:r>
      <w:r>
        <w:rPr>
          <w:color w:val="000009"/>
        </w:rPr>
        <w:t>desempenho</w:t>
      </w:r>
      <w:r>
        <w:rPr>
          <w:color w:val="000009"/>
          <w:spacing w:val="-2"/>
        </w:rPr>
        <w:t xml:space="preserve"> </w:t>
      </w:r>
      <w:r>
        <w:rPr>
          <w:color w:val="000009"/>
        </w:rPr>
        <w:t>e</w:t>
      </w:r>
      <w:r>
        <w:rPr>
          <w:color w:val="000009"/>
          <w:spacing w:val="-4"/>
        </w:rPr>
        <w:t xml:space="preserve"> </w:t>
      </w:r>
      <w:r>
        <w:rPr>
          <w:color w:val="000009"/>
        </w:rPr>
        <w:t>qualidade</w:t>
      </w:r>
      <w:r>
        <w:rPr>
          <w:color w:val="000009"/>
          <w:spacing w:val="-3"/>
        </w:rPr>
        <w:t xml:space="preserve"> </w:t>
      </w:r>
      <w:r>
        <w:rPr>
          <w:color w:val="000009"/>
        </w:rPr>
        <w:t>da</w:t>
      </w:r>
      <w:r>
        <w:rPr>
          <w:color w:val="000009"/>
          <w:spacing w:val="-2"/>
        </w:rPr>
        <w:t xml:space="preserve"> </w:t>
      </w:r>
      <w:r>
        <w:rPr>
          <w:color w:val="000009"/>
        </w:rPr>
        <w:t>prestação</w:t>
      </w:r>
      <w:r>
        <w:rPr>
          <w:color w:val="000009"/>
          <w:spacing w:val="-4"/>
        </w:rPr>
        <w:t xml:space="preserve"> </w:t>
      </w:r>
      <w:r>
        <w:rPr>
          <w:color w:val="000009"/>
        </w:rPr>
        <w:t>dos</w:t>
      </w:r>
      <w:r>
        <w:rPr>
          <w:color w:val="000009"/>
          <w:spacing w:val="-4"/>
        </w:rPr>
        <w:t xml:space="preserve"> </w:t>
      </w:r>
      <w:r>
        <w:rPr>
          <w:color w:val="000009"/>
        </w:rPr>
        <w:t>serviços.</w:t>
      </w:r>
    </w:p>
    <w:p>
      <w:pPr>
        <w:pStyle w:val="ListParagraph"/>
        <w:widowControl w:val="false"/>
        <w:numPr>
          <w:ilvl w:val="1"/>
          <w:numId w:val="2"/>
        </w:numPr>
        <w:tabs>
          <w:tab w:val="clear" w:pos="708"/>
          <w:tab w:val="left" w:pos="856" w:leader="none"/>
        </w:tabs>
        <w:spacing w:before="126" w:after="0"/>
        <w:contextualSpacing w:val="false"/>
        <w:jc w:val="both"/>
        <w:rPr/>
      </w:pPr>
      <w:r>
        <w:rPr/>
        <w:t xml:space="preserve">        </w:t>
      </w:r>
      <w:r>
        <w:rPr/>
        <w:t>A</w:t>
      </w:r>
      <w:r>
        <w:rPr>
          <w:spacing w:val="-5"/>
        </w:rPr>
        <w:t xml:space="preserve"> </w:t>
      </w:r>
      <w:r>
        <w:rPr/>
        <w:t>fiscalização</w:t>
      </w:r>
      <w:r>
        <w:rPr>
          <w:spacing w:val="-4"/>
        </w:rPr>
        <w:t xml:space="preserve"> </w:t>
      </w:r>
      <w:r>
        <w:rPr/>
        <w:t>da</w:t>
      </w:r>
      <w:r>
        <w:rPr>
          <w:spacing w:val="-6"/>
        </w:rPr>
        <w:t xml:space="preserve"> </w:t>
      </w:r>
      <w:r>
        <w:rPr/>
        <w:t>execução</w:t>
      </w:r>
      <w:r>
        <w:rPr>
          <w:spacing w:val="-5"/>
        </w:rPr>
        <w:t xml:space="preserve"> </w:t>
      </w:r>
      <w:r>
        <w:rPr/>
        <w:t>dos</w:t>
      </w:r>
      <w:r>
        <w:rPr>
          <w:spacing w:val="-6"/>
        </w:rPr>
        <w:t xml:space="preserve"> </w:t>
      </w:r>
      <w:r>
        <w:rPr/>
        <w:t>serviços</w:t>
      </w:r>
      <w:r>
        <w:rPr>
          <w:spacing w:val="-5"/>
        </w:rPr>
        <w:t xml:space="preserve"> </w:t>
      </w:r>
      <w:r>
        <w:rPr/>
        <w:t>abrange,</w:t>
      </w:r>
      <w:r>
        <w:rPr>
          <w:spacing w:val="-8"/>
        </w:rPr>
        <w:t xml:space="preserve"> </w:t>
      </w:r>
      <w:r>
        <w:rPr/>
        <w:t>ainda,</w:t>
      </w:r>
      <w:r>
        <w:rPr>
          <w:spacing w:val="-5"/>
        </w:rPr>
        <w:t xml:space="preserve"> </w:t>
      </w:r>
      <w:r>
        <w:rPr/>
        <w:t>as</w:t>
      </w:r>
      <w:r>
        <w:rPr>
          <w:spacing w:val="-8"/>
        </w:rPr>
        <w:t xml:space="preserve"> </w:t>
      </w:r>
      <w:r>
        <w:rPr/>
        <w:t>seguintes</w:t>
      </w:r>
      <w:r>
        <w:rPr>
          <w:spacing w:val="-5"/>
        </w:rPr>
        <w:t xml:space="preserve"> </w:t>
      </w:r>
      <w:r>
        <w:rPr/>
        <w:t>rotinas:</w:t>
      </w:r>
    </w:p>
    <w:p>
      <w:pPr>
        <w:pStyle w:val="ListParagraph"/>
        <w:widowControl w:val="false"/>
        <w:numPr>
          <w:ilvl w:val="2"/>
          <w:numId w:val="2"/>
        </w:numPr>
        <w:tabs>
          <w:tab w:val="clear" w:pos="708"/>
          <w:tab w:val="left" w:pos="856" w:leader="none"/>
        </w:tabs>
        <w:spacing w:before="126" w:after="0"/>
        <w:contextualSpacing w:val="false"/>
        <w:jc w:val="both"/>
        <w:rPr/>
      </w:pPr>
      <w:r>
        <w:rPr/>
        <w:t>Verificar de qualidade e quantidade do alimentos;</w:t>
      </w:r>
    </w:p>
    <w:p>
      <w:pPr>
        <w:pStyle w:val="ListParagraph"/>
        <w:widowControl w:val="false"/>
        <w:numPr>
          <w:ilvl w:val="2"/>
          <w:numId w:val="2"/>
        </w:numPr>
        <w:tabs>
          <w:tab w:val="clear" w:pos="708"/>
          <w:tab w:val="left" w:pos="856" w:leader="none"/>
        </w:tabs>
        <w:spacing w:before="126" w:after="0"/>
        <w:contextualSpacing w:val="false"/>
        <w:jc w:val="both"/>
        <w:rPr/>
      </w:pPr>
      <w:r>
        <w:rPr/>
        <w:t>Verificar se o contrato está sendo seguindo a rigor;</w:t>
      </w:r>
    </w:p>
    <w:p>
      <w:pPr>
        <w:pStyle w:val="ListParagraph"/>
        <w:widowControl w:val="false"/>
        <w:numPr>
          <w:ilvl w:val="2"/>
          <w:numId w:val="2"/>
        </w:numPr>
        <w:tabs>
          <w:tab w:val="clear" w:pos="708"/>
          <w:tab w:val="left" w:pos="856" w:leader="none"/>
        </w:tabs>
        <w:spacing w:before="126" w:after="0"/>
        <w:contextualSpacing w:val="false"/>
        <w:jc w:val="both"/>
        <w:rPr/>
      </w:pPr>
      <w:r>
        <w:rPr/>
        <w:t>Verificação da quantidade de garçons e apresentação individual;e</w:t>
      </w:r>
    </w:p>
    <w:p>
      <w:pPr>
        <w:pStyle w:val="ListParagraph"/>
        <w:widowControl w:val="false"/>
        <w:numPr>
          <w:ilvl w:val="2"/>
          <w:numId w:val="2"/>
        </w:numPr>
        <w:tabs>
          <w:tab w:val="clear" w:pos="708"/>
          <w:tab w:val="left" w:pos="856" w:leader="none"/>
        </w:tabs>
        <w:spacing w:before="126" w:after="0"/>
        <w:contextualSpacing w:val="false"/>
        <w:jc w:val="both"/>
        <w:rPr/>
      </w:pPr>
      <w:r>
        <w:rPr/>
        <w:t>Pontualidade.</w:t>
      </w:r>
    </w:p>
    <w:p>
      <w:pPr>
        <w:pStyle w:val="Corpodotexto"/>
        <w:rPr>
          <w:lang w:val="pt-BR"/>
        </w:rPr>
      </w:pPr>
      <w:r>
        <w:rPr>
          <w:lang w:val="pt-BR"/>
        </w:rPr>
      </w:r>
    </w:p>
    <w:p>
      <w:pPr>
        <w:pStyle w:val="ListParagraph"/>
        <w:widowControl w:val="false"/>
        <w:numPr>
          <w:ilvl w:val="1"/>
          <w:numId w:val="2"/>
        </w:numPr>
        <w:tabs>
          <w:tab w:val="clear" w:pos="708"/>
          <w:tab w:val="left" w:pos="856" w:leader="none"/>
        </w:tabs>
        <w:spacing w:lineRule="auto" w:line="271" w:before="154" w:after="0"/>
        <w:ind w:left="716" w:right="809" w:hanging="432"/>
        <w:contextualSpacing w:val="false"/>
        <w:jc w:val="both"/>
        <w:rPr/>
      </w:pPr>
      <w:r>
        <w:rPr>
          <w:color w:val="000009"/>
        </w:rPr>
        <w:t xml:space="preserve">        </w:t>
      </w:r>
      <w:r>
        <w:rPr>
          <w:color w:val="000009"/>
        </w:rPr>
        <w:t>As disposições previstas nesta cláusula não excluem o disposto no Anexo VIII da Instrução Normativa</w:t>
      </w:r>
      <w:r>
        <w:rPr>
          <w:color w:val="000009"/>
          <w:spacing w:val="1"/>
        </w:rPr>
        <w:t xml:space="preserve"> </w:t>
      </w:r>
      <w:r>
        <w:rPr>
          <w:color w:val="000009"/>
        </w:rPr>
        <w:t>SEGES/MP nº</w:t>
      </w:r>
      <w:r>
        <w:rPr>
          <w:color w:val="000009"/>
          <w:spacing w:val="-3"/>
        </w:rPr>
        <w:t xml:space="preserve"> </w:t>
      </w:r>
      <w:r>
        <w:rPr>
          <w:color w:val="000009"/>
        </w:rPr>
        <w:t>05,</w:t>
      </w:r>
      <w:r>
        <w:rPr>
          <w:color w:val="000009"/>
          <w:spacing w:val="-3"/>
        </w:rPr>
        <w:t xml:space="preserve"> </w:t>
      </w:r>
      <w:r>
        <w:rPr>
          <w:color w:val="000009"/>
        </w:rPr>
        <w:t>de</w:t>
      </w:r>
      <w:r>
        <w:rPr>
          <w:color w:val="000009"/>
          <w:spacing w:val="-1"/>
        </w:rPr>
        <w:t xml:space="preserve"> </w:t>
      </w:r>
      <w:r>
        <w:rPr>
          <w:color w:val="000009"/>
        </w:rPr>
        <w:t>2017,</w:t>
      </w:r>
      <w:r>
        <w:rPr>
          <w:color w:val="000009"/>
          <w:spacing w:val="-3"/>
        </w:rPr>
        <w:t xml:space="preserve"> </w:t>
      </w:r>
      <w:r>
        <w:rPr>
          <w:color w:val="000009"/>
        </w:rPr>
        <w:t>aplicável</w:t>
      </w:r>
      <w:r>
        <w:rPr>
          <w:color w:val="000009"/>
          <w:spacing w:val="-1"/>
        </w:rPr>
        <w:t xml:space="preserve"> </w:t>
      </w:r>
      <w:r>
        <w:rPr>
          <w:color w:val="000009"/>
        </w:rPr>
        <w:t>no</w:t>
      </w:r>
      <w:r>
        <w:rPr>
          <w:color w:val="000009"/>
          <w:spacing w:val="-2"/>
        </w:rPr>
        <w:t xml:space="preserve"> </w:t>
      </w:r>
      <w:r>
        <w:rPr>
          <w:color w:val="000009"/>
        </w:rPr>
        <w:t>que for</w:t>
      </w:r>
      <w:r>
        <w:rPr>
          <w:color w:val="000009"/>
          <w:spacing w:val="-3"/>
        </w:rPr>
        <w:t xml:space="preserve"> </w:t>
      </w:r>
      <w:r>
        <w:rPr>
          <w:color w:val="000009"/>
        </w:rPr>
        <w:t>pertinente</w:t>
      </w:r>
      <w:r>
        <w:rPr>
          <w:color w:val="000009"/>
          <w:spacing w:val="-2"/>
        </w:rPr>
        <w:t xml:space="preserve"> </w:t>
      </w:r>
      <w:r>
        <w:rPr>
          <w:color w:val="000009"/>
        </w:rPr>
        <w:t>à contratação.</w:t>
      </w:r>
    </w:p>
    <w:p>
      <w:pPr>
        <w:pStyle w:val="ListParagraph"/>
        <w:widowControl w:val="false"/>
        <w:numPr>
          <w:ilvl w:val="1"/>
          <w:numId w:val="2"/>
        </w:numPr>
        <w:tabs>
          <w:tab w:val="clear" w:pos="708"/>
          <w:tab w:val="left" w:pos="856" w:leader="none"/>
        </w:tabs>
        <w:spacing w:lineRule="auto" w:line="271" w:before="123" w:after="0"/>
        <w:ind w:left="716" w:right="801" w:hanging="432"/>
        <w:contextualSpacing w:val="false"/>
        <w:jc w:val="both"/>
        <w:rPr/>
      </w:pPr>
      <w:r>
        <w:rPr>
          <w:color w:val="000009"/>
        </w:rPr>
        <w:t xml:space="preserve">        </w:t>
      </w:r>
      <w:r>
        <w:rPr>
          <w:color w:val="000009"/>
        </w:rPr>
        <w:t>A fiscalização de que trata esta cláusula não exclui nem reduz a responsabilidade da CONTRATADA,</w:t>
      </w:r>
      <w:r>
        <w:rPr>
          <w:color w:val="000009"/>
          <w:spacing w:val="1"/>
        </w:rPr>
        <w:t xml:space="preserve"> </w:t>
      </w:r>
      <w:r>
        <w:rPr>
          <w:color w:val="000009"/>
        </w:rPr>
        <w:t>inclusive perante terceiros, por qualquer irregularidade, ainda que resultante de imperfeições técnicas, vícios</w:t>
      </w:r>
      <w:r>
        <w:rPr>
          <w:color w:val="000009"/>
          <w:spacing w:val="1"/>
        </w:rPr>
        <w:t xml:space="preserve"> </w:t>
      </w:r>
      <w:r>
        <w:rPr>
          <w:color w:val="000009"/>
        </w:rPr>
        <w:t>redibitórios, ou emprego de material inadequado ou de qualidade inferior e, na ocorrência desta, não implica</w:t>
      </w:r>
      <w:r>
        <w:rPr>
          <w:color w:val="000009"/>
          <w:spacing w:val="1"/>
        </w:rPr>
        <w:t xml:space="preserve"> </w:t>
      </w:r>
      <w:r>
        <w:rPr>
          <w:color w:val="000009"/>
        </w:rPr>
        <w:t>corresponsabilidade</w:t>
      </w:r>
      <w:r>
        <w:rPr>
          <w:color w:val="000009"/>
          <w:spacing w:val="-5"/>
        </w:rPr>
        <w:t xml:space="preserve"> </w:t>
      </w:r>
      <w:r>
        <w:rPr>
          <w:color w:val="000009"/>
        </w:rPr>
        <w:t>da</w:t>
      </w:r>
      <w:r>
        <w:rPr>
          <w:color w:val="000009"/>
          <w:spacing w:val="-4"/>
        </w:rPr>
        <w:t xml:space="preserve"> </w:t>
      </w:r>
      <w:r>
        <w:rPr>
          <w:color w:val="000009"/>
        </w:rPr>
        <w:t>CONTRATANTE</w:t>
      </w:r>
      <w:r>
        <w:rPr>
          <w:color w:val="000009"/>
          <w:spacing w:val="-4"/>
        </w:rPr>
        <w:t xml:space="preserve"> </w:t>
      </w:r>
      <w:r>
        <w:rPr>
          <w:color w:val="000009"/>
        </w:rPr>
        <w:t>ou</w:t>
      </w:r>
      <w:r>
        <w:rPr>
          <w:color w:val="000009"/>
          <w:spacing w:val="-3"/>
        </w:rPr>
        <w:t xml:space="preserve"> </w:t>
      </w:r>
      <w:r>
        <w:rPr>
          <w:color w:val="000009"/>
        </w:rPr>
        <w:t>de</w:t>
      </w:r>
      <w:r>
        <w:rPr>
          <w:color w:val="000009"/>
          <w:spacing w:val="-4"/>
        </w:rPr>
        <w:t xml:space="preserve"> </w:t>
      </w:r>
      <w:r>
        <w:rPr>
          <w:color w:val="000009"/>
        </w:rPr>
        <w:t>seus</w:t>
      </w:r>
      <w:r>
        <w:rPr>
          <w:color w:val="000009"/>
          <w:spacing w:val="-4"/>
        </w:rPr>
        <w:t xml:space="preserve"> </w:t>
      </w:r>
      <w:r>
        <w:rPr>
          <w:color w:val="000009"/>
        </w:rPr>
        <w:t>agentes,</w:t>
      </w:r>
      <w:r>
        <w:rPr>
          <w:color w:val="000009"/>
          <w:spacing w:val="-4"/>
        </w:rPr>
        <w:t xml:space="preserve"> </w:t>
      </w:r>
      <w:r>
        <w:rPr>
          <w:color w:val="000009"/>
        </w:rPr>
        <w:t>gestores</w:t>
      </w:r>
      <w:r>
        <w:rPr>
          <w:color w:val="000009"/>
          <w:spacing w:val="-4"/>
        </w:rPr>
        <w:t xml:space="preserve"> </w:t>
      </w:r>
      <w:r>
        <w:rPr>
          <w:color w:val="000009"/>
        </w:rPr>
        <w:t>e</w:t>
      </w:r>
      <w:r>
        <w:rPr>
          <w:color w:val="000009"/>
          <w:spacing w:val="-4"/>
        </w:rPr>
        <w:t xml:space="preserve"> </w:t>
      </w:r>
      <w:r>
        <w:rPr>
          <w:color w:val="000009"/>
        </w:rPr>
        <w:t>fiscais,</w:t>
      </w:r>
      <w:r>
        <w:rPr>
          <w:color w:val="000009"/>
          <w:spacing w:val="-4"/>
        </w:rPr>
        <w:t xml:space="preserve"> </w:t>
      </w:r>
      <w:r>
        <w:rPr>
          <w:color w:val="000009"/>
        </w:rPr>
        <w:t>de</w:t>
      </w:r>
      <w:r>
        <w:rPr>
          <w:color w:val="000009"/>
          <w:spacing w:val="-4"/>
        </w:rPr>
        <w:t xml:space="preserve"> </w:t>
      </w:r>
      <w:r>
        <w:rPr>
          <w:color w:val="000009"/>
        </w:rPr>
        <w:t>conformidade</w:t>
      </w:r>
      <w:r>
        <w:rPr>
          <w:color w:val="000009"/>
          <w:spacing w:val="-4"/>
        </w:rPr>
        <w:t xml:space="preserve"> </w:t>
      </w:r>
      <w:r>
        <w:rPr>
          <w:color w:val="000009"/>
        </w:rPr>
        <w:t>com</w:t>
      </w:r>
      <w:r>
        <w:rPr>
          <w:color w:val="000009"/>
          <w:spacing w:val="-3"/>
        </w:rPr>
        <w:t xml:space="preserve"> </w:t>
      </w:r>
      <w:r>
        <w:rPr>
          <w:color w:val="000009"/>
        </w:rPr>
        <w:t>o</w:t>
      </w:r>
      <w:r>
        <w:rPr>
          <w:color w:val="000009"/>
          <w:spacing w:val="-6"/>
        </w:rPr>
        <w:t xml:space="preserve"> </w:t>
      </w:r>
      <w:r>
        <w:rPr>
          <w:color w:val="000009"/>
        </w:rPr>
        <w:t>art.</w:t>
      </w:r>
      <w:r>
        <w:rPr>
          <w:color w:val="000009"/>
          <w:spacing w:val="-4"/>
        </w:rPr>
        <w:t xml:space="preserve"> </w:t>
      </w:r>
      <w:r>
        <w:rPr>
          <w:color w:val="000009"/>
        </w:rPr>
        <w:t>70</w:t>
      </w:r>
      <w:r>
        <w:rPr>
          <w:color w:val="000009"/>
          <w:spacing w:val="-5"/>
        </w:rPr>
        <w:t xml:space="preserve"> </w:t>
      </w:r>
      <w:r>
        <w:rPr>
          <w:color w:val="000009"/>
        </w:rPr>
        <w:t>da</w:t>
      </w:r>
      <w:r>
        <w:rPr>
          <w:color w:val="000009"/>
          <w:spacing w:val="1"/>
        </w:rPr>
        <w:t xml:space="preserve"> </w:t>
      </w:r>
      <w:r>
        <w:rPr>
          <w:color w:val="000009"/>
        </w:rPr>
        <w:t>Lei</w:t>
      </w:r>
      <w:r>
        <w:rPr>
          <w:color w:val="000009"/>
          <w:spacing w:val="-1"/>
        </w:rPr>
        <w:t xml:space="preserve"> </w:t>
      </w:r>
      <w:r>
        <w:rPr>
          <w:color w:val="000009"/>
        </w:rPr>
        <w:t>nº 8.666,</w:t>
      </w:r>
      <w:r>
        <w:rPr>
          <w:color w:val="000009"/>
          <w:spacing w:val="-2"/>
        </w:rPr>
        <w:t xml:space="preserve"> </w:t>
      </w:r>
      <w:r>
        <w:rPr>
          <w:color w:val="000009"/>
        </w:rPr>
        <w:t>de</w:t>
      </w:r>
      <w:r>
        <w:rPr>
          <w:color w:val="000009"/>
          <w:spacing w:val="-1"/>
        </w:rPr>
        <w:t xml:space="preserve"> </w:t>
      </w:r>
      <w:r>
        <w:rPr>
          <w:color w:val="000009"/>
        </w:rPr>
        <w:t>1993.</w:t>
      </w:r>
    </w:p>
    <w:p>
      <w:pPr>
        <w:pStyle w:val="Nivel1"/>
        <w:numPr>
          <w:ilvl w:val="0"/>
          <w:numId w:val="2"/>
        </w:numPr>
        <w:rPr/>
      </w:pPr>
      <w:r>
        <w:rPr/>
        <w:t>DOS</w:t>
      </w:r>
      <w:r>
        <w:rPr>
          <w:spacing w:val="-10"/>
        </w:rPr>
        <w:t xml:space="preserve"> </w:t>
      </w:r>
      <w:r>
        <w:rPr/>
        <w:t>CRITÉRIOS</w:t>
      </w:r>
      <w:r>
        <w:rPr>
          <w:spacing w:val="-9"/>
        </w:rPr>
        <w:t xml:space="preserve"> </w:t>
      </w:r>
      <w:r>
        <w:rPr/>
        <w:t>DE</w:t>
      </w:r>
      <w:r>
        <w:rPr>
          <w:spacing w:val="-10"/>
        </w:rPr>
        <w:t xml:space="preserve"> </w:t>
      </w:r>
      <w:r>
        <w:rPr/>
        <w:t>AFERIÇÃO</w:t>
      </w:r>
      <w:r>
        <w:rPr>
          <w:spacing w:val="-9"/>
        </w:rPr>
        <w:t xml:space="preserve"> </w:t>
      </w:r>
      <w:r>
        <w:rPr/>
        <w:t>E</w:t>
      </w:r>
      <w:r>
        <w:rPr>
          <w:spacing w:val="-10"/>
        </w:rPr>
        <w:t xml:space="preserve"> </w:t>
      </w:r>
      <w:r>
        <w:rPr/>
        <w:t>MEDIÇÃO</w:t>
      </w:r>
      <w:r>
        <w:rPr>
          <w:spacing w:val="-9"/>
        </w:rPr>
        <w:t xml:space="preserve"> </w:t>
      </w:r>
      <w:r>
        <w:rPr/>
        <w:t>PARA</w:t>
      </w:r>
      <w:r>
        <w:rPr>
          <w:spacing w:val="-10"/>
        </w:rPr>
        <w:t xml:space="preserve"> </w:t>
      </w:r>
      <w:r>
        <w:rPr/>
        <w:t>FATURAMENTO</w:t>
      </w:r>
    </w:p>
    <w:p>
      <w:pPr>
        <w:pStyle w:val="Nivel1"/>
        <w:numPr>
          <w:ilvl w:val="1"/>
          <w:numId w:val="2"/>
        </w:numPr>
        <w:rPr/>
      </w:pPr>
      <w:r>
        <w:rPr>
          <w:b w:val="false"/>
        </w:rPr>
        <w:t>A avaliação da execução do objeto utilizará o Instrumento de Medição de Resultado (IMR), conforme</w:t>
      </w:r>
      <w:r>
        <w:rPr>
          <w:b w:val="false"/>
          <w:spacing w:val="1"/>
        </w:rPr>
        <w:t xml:space="preserve"> </w:t>
      </w:r>
      <w:r>
        <w:rPr>
          <w:b w:val="false"/>
        </w:rPr>
        <w:t xml:space="preserve">modelo previsto no Anexo VII, </w:t>
      </w:r>
      <w:r>
        <w:rPr>
          <w:b w:val="false"/>
          <w:u w:val="single"/>
        </w:rPr>
        <w:t>OU</w:t>
      </w:r>
      <w:r>
        <w:rPr>
          <w:b w:val="false"/>
        </w:rPr>
        <w:t xml:space="preserve"> outro instrumento substituto para aferição da qualidade da prestação dos</w:t>
      </w:r>
      <w:r>
        <w:rPr>
          <w:b w:val="false"/>
          <w:spacing w:val="1"/>
        </w:rPr>
        <w:t xml:space="preserve"> </w:t>
      </w:r>
      <w:r>
        <w:rPr>
          <w:b w:val="false"/>
        </w:rPr>
        <w:t>serviços</w:t>
      </w:r>
      <w:r>
        <w:rPr>
          <w:b w:val="false"/>
          <w:spacing w:val="1"/>
        </w:rPr>
        <w:t xml:space="preserve"> </w:t>
      </w:r>
      <w:r>
        <w:rPr>
          <w:b w:val="false"/>
          <w:u w:val="single"/>
        </w:rPr>
        <w:t>OU</w:t>
      </w:r>
      <w:r>
        <w:rPr>
          <w:b w:val="false"/>
          <w:spacing w:val="1"/>
          <w:u w:val="single"/>
        </w:rPr>
        <w:t xml:space="preserve"> </w:t>
      </w:r>
      <w:r>
        <w:rPr>
          <w:b w:val="false"/>
          <w:u w:val="single"/>
        </w:rPr>
        <w:t>o</w:t>
      </w:r>
      <w:r>
        <w:rPr>
          <w:b w:val="false"/>
          <w:spacing w:val="1"/>
          <w:u w:val="single"/>
        </w:rPr>
        <w:t xml:space="preserve"> </w:t>
      </w:r>
      <w:r>
        <w:rPr>
          <w:b w:val="false"/>
          <w:u w:val="single"/>
        </w:rPr>
        <w:t>disposto</w:t>
      </w:r>
      <w:r>
        <w:rPr>
          <w:b w:val="false"/>
          <w:spacing w:val="1"/>
          <w:u w:val="single"/>
        </w:rPr>
        <w:t xml:space="preserve"> </w:t>
      </w:r>
      <w:r>
        <w:rPr>
          <w:b w:val="false"/>
          <w:u w:val="single"/>
        </w:rPr>
        <w:t>neste</w:t>
      </w:r>
      <w:r>
        <w:rPr>
          <w:b w:val="false"/>
          <w:spacing w:val="1"/>
          <w:u w:val="single"/>
        </w:rPr>
        <w:t xml:space="preserve"> </w:t>
      </w:r>
      <w:r>
        <w:rPr>
          <w:b w:val="false"/>
          <w:u w:val="single"/>
        </w:rPr>
        <w:t>item</w:t>
      </w:r>
      <w:r>
        <w:rPr>
          <w:b w:val="false"/>
        </w:rPr>
        <w:t>,</w:t>
      </w:r>
      <w:r>
        <w:rPr>
          <w:b w:val="false"/>
          <w:spacing w:val="1"/>
        </w:rPr>
        <w:t xml:space="preserve"> </w:t>
      </w:r>
      <w:r>
        <w:rPr>
          <w:b w:val="false"/>
        </w:rPr>
        <w:t>devendo</w:t>
      </w:r>
      <w:r>
        <w:rPr>
          <w:b w:val="false"/>
          <w:spacing w:val="1"/>
        </w:rPr>
        <w:t xml:space="preserve"> </w:t>
      </w:r>
      <w:r>
        <w:rPr>
          <w:b w:val="false"/>
        </w:rPr>
        <w:t>haver</w:t>
      </w:r>
      <w:r>
        <w:rPr>
          <w:b w:val="false"/>
          <w:spacing w:val="1"/>
        </w:rPr>
        <w:t xml:space="preserve"> </w:t>
      </w:r>
      <w:r>
        <w:rPr>
          <w:b w:val="false"/>
        </w:rPr>
        <w:t>o</w:t>
      </w:r>
      <w:r>
        <w:rPr>
          <w:b w:val="false"/>
          <w:spacing w:val="1"/>
        </w:rPr>
        <w:t xml:space="preserve"> </w:t>
      </w:r>
      <w:r>
        <w:rPr>
          <w:b w:val="false"/>
        </w:rPr>
        <w:t>redimensionamento</w:t>
      </w:r>
      <w:r>
        <w:rPr>
          <w:b w:val="false"/>
          <w:spacing w:val="1"/>
        </w:rPr>
        <w:t xml:space="preserve"> </w:t>
      </w:r>
      <w:r>
        <w:rPr>
          <w:b w:val="false"/>
        </w:rPr>
        <w:t>no</w:t>
      </w:r>
      <w:r>
        <w:rPr>
          <w:b w:val="false"/>
          <w:spacing w:val="1"/>
        </w:rPr>
        <w:t xml:space="preserve"> </w:t>
      </w:r>
      <w:r>
        <w:rPr>
          <w:b w:val="false"/>
        </w:rPr>
        <w:t>pagamento</w:t>
      </w:r>
      <w:r>
        <w:rPr>
          <w:b w:val="false"/>
          <w:spacing w:val="1"/>
        </w:rPr>
        <w:t xml:space="preserve"> </w:t>
      </w:r>
      <w:r>
        <w:rPr>
          <w:b w:val="false"/>
        </w:rPr>
        <w:t>com</w:t>
      </w:r>
      <w:r>
        <w:rPr>
          <w:b w:val="false"/>
          <w:spacing w:val="1"/>
        </w:rPr>
        <w:t xml:space="preserve"> </w:t>
      </w:r>
      <w:r>
        <w:rPr>
          <w:b w:val="false"/>
        </w:rPr>
        <w:t>base</w:t>
      </w:r>
      <w:r>
        <w:rPr>
          <w:b w:val="false"/>
          <w:spacing w:val="1"/>
        </w:rPr>
        <w:t xml:space="preserve"> </w:t>
      </w:r>
      <w:r>
        <w:rPr>
          <w:b w:val="false"/>
        </w:rPr>
        <w:t>nos</w:t>
      </w:r>
      <w:r>
        <w:rPr>
          <w:b w:val="false"/>
          <w:spacing w:val="1"/>
        </w:rPr>
        <w:t xml:space="preserve"> </w:t>
      </w:r>
      <w:r>
        <w:rPr>
          <w:b w:val="false"/>
        </w:rPr>
        <w:t>indicadores</w:t>
      </w:r>
      <w:r>
        <w:rPr>
          <w:b w:val="false"/>
          <w:spacing w:val="-1"/>
        </w:rPr>
        <w:t xml:space="preserve"> </w:t>
      </w:r>
      <w:r>
        <w:rPr>
          <w:b w:val="false"/>
        </w:rPr>
        <w:t>estabelecidos,</w:t>
      </w:r>
      <w:r>
        <w:rPr>
          <w:b w:val="false"/>
          <w:spacing w:val="-1"/>
        </w:rPr>
        <w:t xml:space="preserve"> </w:t>
      </w:r>
      <w:r>
        <w:rPr>
          <w:b w:val="false"/>
        </w:rPr>
        <w:t>sempre</w:t>
      </w:r>
      <w:r>
        <w:rPr>
          <w:b w:val="false"/>
          <w:spacing w:val="-1"/>
        </w:rPr>
        <w:t xml:space="preserve"> </w:t>
      </w:r>
      <w:r>
        <w:rPr>
          <w:b w:val="false"/>
        </w:rPr>
        <w:t>que</w:t>
      </w:r>
      <w:r>
        <w:rPr>
          <w:b w:val="false"/>
          <w:spacing w:val="-1"/>
        </w:rPr>
        <w:t xml:space="preserve"> </w:t>
      </w:r>
      <w:r>
        <w:rPr>
          <w:b w:val="false"/>
        </w:rPr>
        <w:t>a</w:t>
      </w:r>
      <w:r>
        <w:rPr>
          <w:b w:val="false"/>
          <w:spacing w:val="-1"/>
        </w:rPr>
        <w:t xml:space="preserve"> </w:t>
      </w:r>
      <w:r>
        <w:rPr>
          <w:b w:val="false"/>
        </w:rPr>
        <w:t>CONTRATADA:</w:t>
      </w:r>
    </w:p>
    <w:p>
      <w:pPr>
        <w:pStyle w:val="ListParagraph"/>
        <w:widowControl w:val="false"/>
        <w:numPr>
          <w:ilvl w:val="0"/>
          <w:numId w:val="7"/>
        </w:numPr>
        <w:tabs>
          <w:tab w:val="clear" w:pos="708"/>
          <w:tab w:val="left" w:pos="906" w:leader="none"/>
        </w:tabs>
        <w:spacing w:lineRule="auto" w:line="276" w:before="119" w:after="0"/>
        <w:ind w:left="704" w:right="240" w:hanging="0"/>
        <w:contextualSpacing w:val="false"/>
        <w:jc w:val="both"/>
        <w:rPr/>
      </w:pPr>
      <w:r>
        <w:rPr/>
        <w:t>não</w:t>
      </w:r>
      <w:r>
        <w:rPr>
          <w:spacing w:val="-8"/>
        </w:rPr>
        <w:t xml:space="preserve"> </w:t>
      </w:r>
      <w:r>
        <w:rPr/>
        <w:t>produzir</w:t>
      </w:r>
      <w:r>
        <w:rPr>
          <w:spacing w:val="-6"/>
        </w:rPr>
        <w:t xml:space="preserve"> </w:t>
      </w:r>
      <w:r>
        <w:rPr/>
        <w:t>os</w:t>
      </w:r>
      <w:r>
        <w:rPr>
          <w:spacing w:val="-8"/>
        </w:rPr>
        <w:t xml:space="preserve"> </w:t>
      </w:r>
      <w:r>
        <w:rPr/>
        <w:t>resultados,</w:t>
      </w:r>
      <w:r>
        <w:rPr>
          <w:spacing w:val="-7"/>
        </w:rPr>
        <w:t xml:space="preserve"> </w:t>
      </w:r>
      <w:r>
        <w:rPr/>
        <w:t>deixar</w:t>
      </w:r>
      <w:r>
        <w:rPr>
          <w:spacing w:val="-6"/>
        </w:rPr>
        <w:t xml:space="preserve"> </w:t>
      </w:r>
      <w:r>
        <w:rPr/>
        <w:t>de</w:t>
      </w:r>
      <w:r>
        <w:rPr>
          <w:spacing w:val="-7"/>
        </w:rPr>
        <w:t xml:space="preserve"> </w:t>
      </w:r>
      <w:r>
        <w:rPr/>
        <w:t>executar,</w:t>
      </w:r>
      <w:r>
        <w:rPr>
          <w:spacing w:val="-6"/>
        </w:rPr>
        <w:t xml:space="preserve"> </w:t>
      </w:r>
      <w:r>
        <w:rPr/>
        <w:t>ou</w:t>
      </w:r>
      <w:r>
        <w:rPr>
          <w:spacing w:val="-8"/>
        </w:rPr>
        <w:t xml:space="preserve"> </w:t>
      </w:r>
      <w:r>
        <w:rPr/>
        <w:t>não</w:t>
      </w:r>
      <w:r>
        <w:rPr>
          <w:spacing w:val="-6"/>
        </w:rPr>
        <w:t xml:space="preserve"> </w:t>
      </w:r>
      <w:r>
        <w:rPr/>
        <w:t>executar</w:t>
      </w:r>
      <w:r>
        <w:rPr>
          <w:spacing w:val="-7"/>
        </w:rPr>
        <w:t xml:space="preserve"> </w:t>
      </w:r>
      <w:r>
        <w:rPr/>
        <w:t>com</w:t>
      </w:r>
      <w:r>
        <w:rPr>
          <w:spacing w:val="-8"/>
        </w:rPr>
        <w:t xml:space="preserve"> </w:t>
      </w:r>
      <w:r>
        <w:rPr/>
        <w:t>a</w:t>
      </w:r>
      <w:r>
        <w:rPr>
          <w:spacing w:val="-6"/>
        </w:rPr>
        <w:t xml:space="preserve"> </w:t>
      </w:r>
      <w:r>
        <w:rPr/>
        <w:t>qualidade</w:t>
      </w:r>
      <w:r>
        <w:rPr>
          <w:spacing w:val="-7"/>
        </w:rPr>
        <w:t xml:space="preserve"> </w:t>
      </w:r>
      <w:r>
        <w:rPr/>
        <w:t>mínima</w:t>
      </w:r>
      <w:r>
        <w:rPr>
          <w:spacing w:val="-8"/>
        </w:rPr>
        <w:t xml:space="preserve"> </w:t>
      </w:r>
      <w:r>
        <w:rPr/>
        <w:t>exigida</w:t>
      </w:r>
      <w:r>
        <w:rPr>
          <w:spacing w:val="-6"/>
        </w:rPr>
        <w:t xml:space="preserve"> </w:t>
      </w:r>
      <w:r>
        <w:rPr/>
        <w:t>as</w:t>
      </w:r>
      <w:r>
        <w:rPr>
          <w:spacing w:val="-7"/>
        </w:rPr>
        <w:t xml:space="preserve"> </w:t>
      </w:r>
      <w:r>
        <w:rPr/>
        <w:t>atividades</w:t>
      </w:r>
      <w:r>
        <w:rPr>
          <w:spacing w:val="-43"/>
        </w:rPr>
        <w:t xml:space="preserve"> </w:t>
      </w:r>
      <w:r>
        <w:rPr/>
        <w:t>contratadas;</w:t>
      </w:r>
      <w:r>
        <w:rPr>
          <w:spacing w:val="-1"/>
        </w:rPr>
        <w:t xml:space="preserve"> </w:t>
      </w:r>
      <w:r>
        <w:rPr/>
        <w:t>ou</w:t>
      </w:r>
    </w:p>
    <w:p>
      <w:pPr>
        <w:pStyle w:val="ListParagraph"/>
        <w:widowControl w:val="false"/>
        <w:numPr>
          <w:ilvl w:val="0"/>
          <w:numId w:val="7"/>
        </w:numPr>
        <w:tabs>
          <w:tab w:val="clear" w:pos="708"/>
          <w:tab w:val="left" w:pos="952" w:leader="none"/>
        </w:tabs>
        <w:spacing w:lineRule="auto" w:line="276" w:before="119" w:after="0"/>
        <w:ind w:left="704" w:right="240" w:hanging="0"/>
        <w:contextualSpacing w:val="false"/>
        <w:jc w:val="both"/>
        <w:rPr/>
      </w:pPr>
      <w:r>
        <w:rPr/>
        <w:t>deixar de utilizar materiais e recursos humanos exigidos para a execução do serviço, ou utilizá-los com</w:t>
      </w:r>
      <w:r>
        <w:rPr>
          <w:spacing w:val="1"/>
        </w:rPr>
        <w:t xml:space="preserve"> </w:t>
      </w:r>
      <w:r>
        <w:rPr/>
        <w:t>qualidade</w:t>
      </w:r>
      <w:r>
        <w:rPr>
          <w:spacing w:val="-1"/>
        </w:rPr>
        <w:t xml:space="preserve"> </w:t>
      </w:r>
      <w:r>
        <w:rPr/>
        <w:t>ou</w:t>
      </w:r>
      <w:r>
        <w:rPr>
          <w:spacing w:val="1"/>
        </w:rPr>
        <w:t xml:space="preserve"> </w:t>
      </w:r>
      <w:r>
        <w:rPr/>
        <w:t>quantidade inferior</w:t>
      </w:r>
      <w:r>
        <w:rPr>
          <w:spacing w:val="-3"/>
        </w:rPr>
        <w:t xml:space="preserve"> </w:t>
      </w:r>
      <w:r>
        <w:rPr/>
        <w:t>à demandada.</w:t>
      </w:r>
    </w:p>
    <w:p>
      <w:pPr>
        <w:pStyle w:val="ListParagraph"/>
        <w:widowControl w:val="false"/>
        <w:numPr>
          <w:ilvl w:val="2"/>
          <w:numId w:val="2"/>
        </w:numPr>
        <w:tabs>
          <w:tab w:val="clear" w:pos="708"/>
          <w:tab w:val="left" w:pos="1424" w:leader="none"/>
        </w:tabs>
        <w:spacing w:lineRule="auto" w:line="276" w:before="118" w:after="0"/>
        <w:ind w:left="1781" w:right="241" w:hanging="504"/>
        <w:contextualSpacing/>
        <w:jc w:val="both"/>
        <w:rPr/>
      </w:pPr>
      <w:r>
        <w:rPr/>
        <w:t>A utilização do IMR não impede a aplicação concomitante de outros mecanismos para a avaliação da</w:t>
      </w:r>
      <w:r>
        <w:rPr>
          <w:spacing w:val="1"/>
        </w:rPr>
        <w:t xml:space="preserve"> </w:t>
      </w:r>
      <w:r>
        <w:rPr/>
        <w:t>prestação</w:t>
      </w:r>
      <w:r>
        <w:rPr>
          <w:spacing w:val="-2"/>
        </w:rPr>
        <w:t xml:space="preserve"> </w:t>
      </w:r>
      <w:r>
        <w:rPr/>
        <w:t>dos</w:t>
      </w:r>
      <w:r>
        <w:rPr>
          <w:spacing w:val="-2"/>
        </w:rPr>
        <w:t xml:space="preserve"> </w:t>
      </w:r>
      <w:r>
        <w:rPr/>
        <w:t>serviços.</w:t>
      </w:r>
    </w:p>
    <w:p>
      <w:pPr>
        <w:pStyle w:val="ListParagraph"/>
        <w:widowControl w:val="false"/>
        <w:numPr>
          <w:ilvl w:val="1"/>
          <w:numId w:val="2"/>
        </w:numPr>
        <w:tabs>
          <w:tab w:val="clear" w:pos="708"/>
          <w:tab w:val="left" w:pos="1424" w:leader="none"/>
        </w:tabs>
        <w:spacing w:lineRule="auto" w:line="276" w:before="119" w:after="0"/>
        <w:contextualSpacing/>
        <w:jc w:val="both"/>
        <w:rPr/>
      </w:pPr>
      <w:r>
        <w:rPr/>
        <w:t>A</w:t>
      </w:r>
      <w:r>
        <w:rPr>
          <w:spacing w:val="-9"/>
        </w:rPr>
        <w:t xml:space="preserve"> </w:t>
      </w:r>
      <w:r>
        <w:rPr/>
        <w:t>aferição</w:t>
      </w:r>
      <w:r>
        <w:rPr>
          <w:spacing w:val="-8"/>
        </w:rPr>
        <w:t xml:space="preserve"> </w:t>
      </w:r>
      <w:r>
        <w:rPr/>
        <w:t>da</w:t>
      </w:r>
      <w:r>
        <w:rPr>
          <w:spacing w:val="-7"/>
        </w:rPr>
        <w:t xml:space="preserve"> </w:t>
      </w:r>
      <w:r>
        <w:rPr/>
        <w:t>execução</w:t>
      </w:r>
      <w:r>
        <w:rPr>
          <w:spacing w:val="-7"/>
        </w:rPr>
        <w:t xml:space="preserve"> </w:t>
      </w:r>
      <w:r>
        <w:rPr/>
        <w:t>contratual</w:t>
      </w:r>
      <w:r>
        <w:rPr>
          <w:spacing w:val="-9"/>
        </w:rPr>
        <w:t xml:space="preserve"> </w:t>
      </w:r>
      <w:r>
        <w:rPr/>
        <w:t>para</w:t>
      </w:r>
      <w:r>
        <w:rPr>
          <w:spacing w:val="-8"/>
        </w:rPr>
        <w:t xml:space="preserve"> </w:t>
      </w:r>
      <w:r>
        <w:rPr/>
        <w:t>fins</w:t>
      </w:r>
      <w:r>
        <w:rPr>
          <w:spacing w:val="-9"/>
        </w:rPr>
        <w:t xml:space="preserve"> </w:t>
      </w:r>
      <w:r>
        <w:rPr/>
        <w:t>de</w:t>
      </w:r>
      <w:r>
        <w:rPr>
          <w:spacing w:val="-8"/>
        </w:rPr>
        <w:t xml:space="preserve"> </w:t>
      </w:r>
      <w:r>
        <w:rPr/>
        <w:t>pagamento</w:t>
      </w:r>
      <w:r>
        <w:rPr>
          <w:spacing w:val="-7"/>
        </w:rPr>
        <w:t xml:space="preserve"> </w:t>
      </w:r>
      <w:r>
        <w:rPr/>
        <w:t>considerará</w:t>
      </w:r>
      <w:r>
        <w:rPr>
          <w:spacing w:val="-7"/>
        </w:rPr>
        <w:t xml:space="preserve"> </w:t>
      </w:r>
      <w:r>
        <w:rPr/>
        <w:t>os</w:t>
      </w:r>
      <w:r>
        <w:rPr>
          <w:spacing w:val="-9"/>
        </w:rPr>
        <w:t xml:space="preserve"> </w:t>
      </w:r>
      <w:r>
        <w:rPr/>
        <w:t>seguintes</w:t>
      </w:r>
      <w:r>
        <w:rPr>
          <w:spacing w:val="-8"/>
        </w:rPr>
        <w:t xml:space="preserve"> </w:t>
      </w:r>
      <w:r>
        <w:rPr/>
        <w:t>critérios:</w:t>
      </w:r>
    </w:p>
    <w:p>
      <w:pPr>
        <w:pStyle w:val="ListParagraph"/>
        <w:widowControl w:val="false"/>
        <w:numPr>
          <w:ilvl w:val="2"/>
          <w:numId w:val="2"/>
        </w:numPr>
        <w:tabs>
          <w:tab w:val="clear" w:pos="708"/>
          <w:tab w:val="left" w:pos="1424" w:leader="none"/>
        </w:tabs>
        <w:spacing w:lineRule="auto" w:line="276" w:before="119" w:after="0"/>
        <w:contextualSpacing/>
        <w:jc w:val="both"/>
        <w:rPr/>
      </w:pPr>
      <w:r>
        <w:rPr/>
        <w:t>OCORRÊNCIA 1: Deixar de prestar o serviço no horário previsto;</w:t>
      </w:r>
    </w:p>
    <w:p>
      <w:pPr>
        <w:pStyle w:val="ListParagraph"/>
        <w:widowControl w:val="false"/>
        <w:numPr>
          <w:ilvl w:val="2"/>
          <w:numId w:val="2"/>
        </w:numPr>
        <w:tabs>
          <w:tab w:val="clear" w:pos="708"/>
          <w:tab w:val="left" w:pos="1424" w:leader="none"/>
        </w:tabs>
        <w:spacing w:lineRule="auto" w:line="276" w:before="119" w:after="0"/>
        <w:contextualSpacing/>
        <w:jc w:val="both"/>
        <w:rPr/>
      </w:pPr>
      <w:r>
        <w:rPr/>
        <w:t>OCORRÊNCIA 2: Permitir a presença de profissional não uniformizado ou com uniforme manchado, quando for o caso, mal apresentado;</w:t>
      </w:r>
    </w:p>
    <w:p>
      <w:pPr>
        <w:pStyle w:val="ListParagraph"/>
        <w:widowControl w:val="false"/>
        <w:numPr>
          <w:ilvl w:val="2"/>
          <w:numId w:val="2"/>
        </w:numPr>
        <w:tabs>
          <w:tab w:val="clear" w:pos="708"/>
          <w:tab w:val="left" w:pos="1424" w:leader="none"/>
        </w:tabs>
        <w:spacing w:lineRule="auto" w:line="276" w:before="119" w:after="0"/>
        <w:contextualSpacing/>
        <w:jc w:val="both"/>
        <w:rPr/>
      </w:pPr>
      <w:r>
        <w:rPr/>
        <w:t>OCORRÊNCIA 3: Deixar de fornecer todo o material e equipamento de infraestrutura;</w:t>
      </w:r>
    </w:p>
    <w:p>
      <w:pPr>
        <w:pStyle w:val="ListParagraph"/>
        <w:widowControl w:val="false"/>
        <w:numPr>
          <w:ilvl w:val="2"/>
          <w:numId w:val="2"/>
        </w:numPr>
        <w:tabs>
          <w:tab w:val="clear" w:pos="708"/>
          <w:tab w:val="left" w:pos="1424" w:leader="none"/>
        </w:tabs>
        <w:spacing w:lineRule="auto" w:line="276" w:before="119" w:after="0"/>
        <w:contextualSpacing/>
        <w:jc w:val="both"/>
        <w:rPr/>
      </w:pPr>
      <w:r>
        <w:rPr/>
        <w:t xml:space="preserve">OCORRÊNCIA 4: Deixar de apresentar a quantidade de funcionários exigidos para cada evento; </w:t>
      </w:r>
    </w:p>
    <w:p>
      <w:pPr>
        <w:pStyle w:val="ListParagraph"/>
        <w:widowControl w:val="false"/>
        <w:numPr>
          <w:ilvl w:val="2"/>
          <w:numId w:val="2"/>
        </w:numPr>
        <w:tabs>
          <w:tab w:val="clear" w:pos="708"/>
          <w:tab w:val="left" w:pos="1424" w:leader="none"/>
        </w:tabs>
        <w:spacing w:lineRule="auto" w:line="276" w:before="119" w:after="0"/>
        <w:contextualSpacing/>
        <w:jc w:val="both"/>
        <w:rPr/>
      </w:pPr>
      <w:r>
        <w:rPr/>
        <w:t>OCORRÊNCIA 5: Deixar de apresentar utensílios e materiais devidamente limpos e higienizados;</w:t>
      </w:r>
    </w:p>
    <w:p>
      <w:pPr>
        <w:pStyle w:val="ListParagraph"/>
        <w:widowControl w:val="false"/>
        <w:numPr>
          <w:ilvl w:val="2"/>
          <w:numId w:val="2"/>
        </w:numPr>
        <w:tabs>
          <w:tab w:val="clear" w:pos="708"/>
          <w:tab w:val="left" w:pos="1424" w:leader="none"/>
        </w:tabs>
        <w:spacing w:lineRule="auto" w:line="276" w:before="119" w:after="0"/>
        <w:contextualSpacing/>
        <w:jc w:val="both"/>
        <w:rPr/>
      </w:pPr>
      <w:r>
        <w:rPr/>
        <w:t>OCORRÊNCIA 6: Deixar de servir a composição do cardápio previamente acertado;</w:t>
      </w:r>
    </w:p>
    <w:p>
      <w:pPr>
        <w:pStyle w:val="ListParagraph"/>
        <w:widowControl w:val="false"/>
        <w:numPr>
          <w:ilvl w:val="2"/>
          <w:numId w:val="2"/>
        </w:numPr>
        <w:tabs>
          <w:tab w:val="clear" w:pos="708"/>
          <w:tab w:val="left" w:pos="1424" w:leader="none"/>
        </w:tabs>
        <w:spacing w:lineRule="auto" w:line="276" w:before="119" w:after="0"/>
        <w:contextualSpacing/>
        <w:jc w:val="both"/>
        <w:rPr/>
      </w:pPr>
      <w:r>
        <w:rPr/>
        <w:t>OCORRÊNCIA 7: Servir alimentos e bebidas em quantidades inferiores ao número de participantes;</w:t>
      </w:r>
    </w:p>
    <w:p>
      <w:pPr>
        <w:pStyle w:val="ListParagraph"/>
        <w:widowControl w:val="false"/>
        <w:numPr>
          <w:ilvl w:val="2"/>
          <w:numId w:val="2"/>
        </w:numPr>
        <w:tabs>
          <w:tab w:val="clear" w:pos="708"/>
          <w:tab w:val="left" w:pos="1424" w:leader="none"/>
        </w:tabs>
        <w:spacing w:lineRule="auto" w:line="276" w:before="119" w:after="0"/>
        <w:contextualSpacing/>
        <w:jc w:val="both"/>
        <w:rPr/>
      </w:pPr>
      <w:r>
        <w:rPr/>
        <w:t>OCORRÊNCIA 8: Servir alimentos e bebidas de proporções e natureza diferentes das relacionadas na Especificação do Objeto e das amostras aprovadas;</w:t>
      </w:r>
    </w:p>
    <w:p>
      <w:pPr>
        <w:pStyle w:val="ListParagraph"/>
        <w:widowControl w:val="false"/>
        <w:numPr>
          <w:ilvl w:val="2"/>
          <w:numId w:val="2"/>
        </w:numPr>
        <w:tabs>
          <w:tab w:val="clear" w:pos="708"/>
          <w:tab w:val="left" w:pos="1424" w:leader="none"/>
        </w:tabs>
        <w:spacing w:lineRule="auto" w:line="276" w:before="119" w:after="0"/>
        <w:contextualSpacing/>
        <w:jc w:val="both"/>
        <w:rPr/>
      </w:pPr>
      <w:r>
        <w:rPr/>
        <w:t>OCORRÊNCIA 9: Servir frios os alimentos salgados cuja natureza assim o determinar que sejam servidos quentes;</w:t>
      </w:r>
    </w:p>
    <w:p>
      <w:pPr>
        <w:pStyle w:val="ListParagraph"/>
        <w:widowControl w:val="false"/>
        <w:numPr>
          <w:ilvl w:val="2"/>
          <w:numId w:val="2"/>
        </w:numPr>
        <w:tabs>
          <w:tab w:val="clear" w:pos="708"/>
          <w:tab w:val="left" w:pos="1424" w:leader="none"/>
        </w:tabs>
        <w:spacing w:lineRule="auto" w:line="276" w:before="119" w:after="0"/>
        <w:contextualSpacing/>
        <w:jc w:val="both"/>
        <w:rPr/>
      </w:pPr>
      <w:r>
        <w:rPr/>
        <w:t>OCORRÊNCIA 10: Servir quentes ou mornas as bebidas cuja natureza assim o determinar que sejam servidas geladas.</w:t>
      </w:r>
    </w:p>
    <w:p>
      <w:pPr>
        <w:pStyle w:val="ListParagraph"/>
        <w:numPr>
          <w:ilvl w:val="1"/>
          <w:numId w:val="2"/>
        </w:numPr>
        <w:rPr/>
      </w:pPr>
      <w:r>
        <w:rPr/>
        <w:t>Do Fator de Aceitação para efeito remuneratório:</w:t>
      </w:r>
    </w:p>
    <w:p>
      <w:pPr>
        <w:pStyle w:val="ListParagraph"/>
        <w:numPr>
          <w:ilvl w:val="2"/>
          <w:numId w:val="2"/>
        </w:numPr>
        <w:rPr/>
      </w:pPr>
      <w:r>
        <w:rPr/>
        <w:t>Faixa 01 – Fator de Aceitação de 00 a 02: 100% do preço;</w:t>
      </w:r>
      <w:r>
        <w:rPr>
          <w:color w:val="000009"/>
        </w:rPr>
        <w:t xml:space="preserve"> </w:t>
      </w:r>
    </w:p>
    <w:p>
      <w:pPr>
        <w:pStyle w:val="ListParagraph"/>
        <w:numPr>
          <w:ilvl w:val="2"/>
          <w:numId w:val="2"/>
        </w:numPr>
        <w:rPr/>
      </w:pPr>
      <w:r>
        <w:rPr>
          <w:color w:val="000009"/>
        </w:rPr>
        <w:t>Faixa</w:t>
      </w:r>
      <w:r>
        <w:rPr>
          <w:color w:val="000009"/>
          <w:spacing w:val="-3"/>
        </w:rPr>
        <w:t xml:space="preserve"> </w:t>
      </w:r>
      <w:r>
        <w:rPr>
          <w:color w:val="000009"/>
        </w:rPr>
        <w:t>02</w:t>
      </w:r>
      <w:r>
        <w:rPr>
          <w:color w:val="000009"/>
          <w:spacing w:val="-2"/>
        </w:rPr>
        <w:t xml:space="preserve"> </w:t>
      </w:r>
      <w:r>
        <w:rPr>
          <w:color w:val="000009"/>
        </w:rPr>
        <w:t>–</w:t>
      </w:r>
      <w:r>
        <w:rPr>
          <w:color w:val="000009"/>
          <w:spacing w:val="-5"/>
        </w:rPr>
        <w:t xml:space="preserve"> </w:t>
      </w:r>
      <w:r>
        <w:rPr>
          <w:color w:val="000009"/>
        </w:rPr>
        <w:t>Fator</w:t>
      </w:r>
      <w:r>
        <w:rPr>
          <w:color w:val="000009"/>
          <w:spacing w:val="-5"/>
        </w:rPr>
        <w:t xml:space="preserve"> </w:t>
      </w:r>
      <w:r>
        <w:rPr>
          <w:color w:val="000009"/>
        </w:rPr>
        <w:t>de</w:t>
      </w:r>
      <w:r>
        <w:rPr>
          <w:color w:val="000009"/>
          <w:spacing w:val="-4"/>
        </w:rPr>
        <w:t xml:space="preserve"> </w:t>
      </w:r>
      <w:r>
        <w:rPr>
          <w:color w:val="000009"/>
        </w:rPr>
        <w:t>Aceitação</w:t>
      </w:r>
      <w:r>
        <w:rPr>
          <w:color w:val="000009"/>
          <w:spacing w:val="-3"/>
        </w:rPr>
        <w:t xml:space="preserve"> </w:t>
      </w:r>
      <w:r>
        <w:rPr>
          <w:color w:val="000009"/>
        </w:rPr>
        <w:t>de</w:t>
      </w:r>
      <w:r>
        <w:rPr>
          <w:color w:val="000009"/>
          <w:spacing w:val="-4"/>
        </w:rPr>
        <w:t xml:space="preserve"> </w:t>
      </w:r>
      <w:r>
        <w:rPr>
          <w:color w:val="000009"/>
        </w:rPr>
        <w:t>03</w:t>
      </w:r>
      <w:r>
        <w:rPr>
          <w:color w:val="000009"/>
          <w:spacing w:val="-4"/>
        </w:rPr>
        <w:t xml:space="preserve"> </w:t>
      </w:r>
      <w:r>
        <w:rPr>
          <w:color w:val="000009"/>
        </w:rPr>
        <w:t>a</w:t>
      </w:r>
      <w:r>
        <w:rPr>
          <w:color w:val="000009"/>
          <w:spacing w:val="-3"/>
        </w:rPr>
        <w:t xml:space="preserve"> </w:t>
      </w:r>
      <w:r>
        <w:rPr>
          <w:color w:val="000009"/>
        </w:rPr>
        <w:t>05: 95%</w:t>
      </w:r>
      <w:r>
        <w:rPr>
          <w:color w:val="000009"/>
          <w:spacing w:val="-4"/>
        </w:rPr>
        <w:t xml:space="preserve"> </w:t>
      </w:r>
      <w:r>
        <w:rPr>
          <w:color w:val="000009"/>
        </w:rPr>
        <w:t>do</w:t>
      </w:r>
      <w:r>
        <w:rPr>
          <w:color w:val="000009"/>
          <w:spacing w:val="-3"/>
        </w:rPr>
        <w:t xml:space="preserve"> </w:t>
      </w:r>
      <w:r>
        <w:rPr>
          <w:color w:val="000009"/>
        </w:rPr>
        <w:t>preço;</w:t>
      </w:r>
    </w:p>
    <w:p>
      <w:pPr>
        <w:pStyle w:val="ListParagraph"/>
        <w:numPr>
          <w:ilvl w:val="2"/>
          <w:numId w:val="2"/>
        </w:numPr>
        <w:rPr/>
      </w:pPr>
      <w:r>
        <w:rPr>
          <w:color w:val="000009"/>
        </w:rPr>
        <w:t>Faixa</w:t>
      </w:r>
      <w:r>
        <w:rPr>
          <w:color w:val="000009"/>
          <w:spacing w:val="-3"/>
        </w:rPr>
        <w:t xml:space="preserve"> </w:t>
      </w:r>
      <w:r>
        <w:rPr>
          <w:color w:val="000009"/>
        </w:rPr>
        <w:t>03</w:t>
      </w:r>
      <w:r>
        <w:rPr>
          <w:color w:val="000009"/>
          <w:spacing w:val="-2"/>
        </w:rPr>
        <w:t xml:space="preserve"> </w:t>
      </w:r>
      <w:r>
        <w:rPr>
          <w:color w:val="000009"/>
        </w:rPr>
        <w:t>–</w:t>
      </w:r>
      <w:r>
        <w:rPr>
          <w:color w:val="000009"/>
          <w:spacing w:val="-5"/>
        </w:rPr>
        <w:t xml:space="preserve"> </w:t>
      </w:r>
      <w:r>
        <w:rPr>
          <w:color w:val="000009"/>
        </w:rPr>
        <w:t>Fator</w:t>
      </w:r>
      <w:r>
        <w:rPr>
          <w:color w:val="000009"/>
          <w:spacing w:val="-5"/>
        </w:rPr>
        <w:t xml:space="preserve"> </w:t>
      </w:r>
      <w:r>
        <w:rPr>
          <w:color w:val="000009"/>
        </w:rPr>
        <w:t>de</w:t>
      </w:r>
      <w:r>
        <w:rPr>
          <w:color w:val="000009"/>
          <w:spacing w:val="-4"/>
        </w:rPr>
        <w:t xml:space="preserve"> </w:t>
      </w:r>
      <w:r>
        <w:rPr>
          <w:color w:val="000009"/>
        </w:rPr>
        <w:t>Aceitação</w:t>
      </w:r>
      <w:r>
        <w:rPr>
          <w:color w:val="000009"/>
          <w:spacing w:val="-3"/>
        </w:rPr>
        <w:t xml:space="preserve"> </w:t>
      </w:r>
      <w:r>
        <w:rPr>
          <w:color w:val="000009"/>
        </w:rPr>
        <w:t>de</w:t>
      </w:r>
      <w:r>
        <w:rPr>
          <w:color w:val="000009"/>
          <w:spacing w:val="-4"/>
        </w:rPr>
        <w:t xml:space="preserve"> </w:t>
      </w:r>
      <w:r>
        <w:rPr>
          <w:color w:val="000009"/>
        </w:rPr>
        <w:t>06</w:t>
      </w:r>
      <w:r>
        <w:rPr>
          <w:color w:val="000009"/>
          <w:spacing w:val="-4"/>
        </w:rPr>
        <w:t xml:space="preserve"> </w:t>
      </w:r>
      <w:r>
        <w:rPr>
          <w:color w:val="000009"/>
        </w:rPr>
        <w:t>a</w:t>
      </w:r>
      <w:r>
        <w:rPr>
          <w:color w:val="000009"/>
          <w:spacing w:val="-3"/>
        </w:rPr>
        <w:t xml:space="preserve"> </w:t>
      </w:r>
      <w:r>
        <w:rPr>
          <w:color w:val="000009"/>
        </w:rPr>
        <w:t>10: 90%</w:t>
      </w:r>
      <w:r>
        <w:rPr>
          <w:color w:val="000009"/>
          <w:spacing w:val="-4"/>
        </w:rPr>
        <w:t xml:space="preserve"> </w:t>
      </w:r>
      <w:r>
        <w:rPr>
          <w:color w:val="000009"/>
        </w:rPr>
        <w:t>do</w:t>
      </w:r>
      <w:r>
        <w:rPr>
          <w:color w:val="000009"/>
          <w:spacing w:val="-3"/>
        </w:rPr>
        <w:t xml:space="preserve"> </w:t>
      </w:r>
      <w:r>
        <w:rPr>
          <w:color w:val="000009"/>
        </w:rPr>
        <w:t>preço;</w:t>
      </w:r>
    </w:p>
    <w:p>
      <w:pPr>
        <w:pStyle w:val="ListParagraph"/>
        <w:numPr>
          <w:ilvl w:val="2"/>
          <w:numId w:val="2"/>
        </w:numPr>
        <w:rPr/>
      </w:pPr>
      <w:r>
        <w:rPr>
          <w:color w:val="000009"/>
        </w:rPr>
        <w:t>Faixa</w:t>
      </w:r>
      <w:r>
        <w:rPr>
          <w:color w:val="000009"/>
          <w:spacing w:val="-3"/>
        </w:rPr>
        <w:t xml:space="preserve"> </w:t>
      </w:r>
      <w:r>
        <w:rPr>
          <w:color w:val="000009"/>
        </w:rPr>
        <w:t>04</w:t>
      </w:r>
      <w:r>
        <w:rPr>
          <w:color w:val="000009"/>
          <w:spacing w:val="-2"/>
        </w:rPr>
        <w:t xml:space="preserve"> </w:t>
      </w:r>
      <w:r>
        <w:rPr>
          <w:color w:val="000009"/>
        </w:rPr>
        <w:t>–</w:t>
      </w:r>
      <w:r>
        <w:rPr>
          <w:color w:val="000009"/>
          <w:spacing w:val="-5"/>
        </w:rPr>
        <w:t xml:space="preserve"> </w:t>
      </w:r>
      <w:r>
        <w:rPr>
          <w:color w:val="000009"/>
        </w:rPr>
        <w:t>Fator</w:t>
      </w:r>
      <w:r>
        <w:rPr>
          <w:color w:val="000009"/>
          <w:spacing w:val="-5"/>
        </w:rPr>
        <w:t xml:space="preserve"> </w:t>
      </w:r>
      <w:r>
        <w:rPr>
          <w:color w:val="000009"/>
        </w:rPr>
        <w:t>de</w:t>
      </w:r>
      <w:r>
        <w:rPr>
          <w:color w:val="000009"/>
          <w:spacing w:val="-4"/>
        </w:rPr>
        <w:t xml:space="preserve"> </w:t>
      </w:r>
      <w:r>
        <w:rPr>
          <w:color w:val="000009"/>
        </w:rPr>
        <w:t>Aceitação</w:t>
      </w:r>
      <w:r>
        <w:rPr>
          <w:color w:val="000009"/>
          <w:spacing w:val="-3"/>
        </w:rPr>
        <w:t xml:space="preserve"> </w:t>
      </w:r>
      <w:r>
        <w:rPr>
          <w:color w:val="000009"/>
        </w:rPr>
        <w:t>de</w:t>
      </w:r>
      <w:r>
        <w:rPr>
          <w:color w:val="000009"/>
          <w:spacing w:val="-4"/>
        </w:rPr>
        <w:t xml:space="preserve"> </w:t>
      </w:r>
      <w:r>
        <w:rPr>
          <w:color w:val="000009"/>
        </w:rPr>
        <w:t>11</w:t>
      </w:r>
      <w:r>
        <w:rPr>
          <w:color w:val="000009"/>
          <w:spacing w:val="-4"/>
        </w:rPr>
        <w:t xml:space="preserve"> </w:t>
      </w:r>
      <w:r>
        <w:rPr>
          <w:color w:val="000009"/>
        </w:rPr>
        <w:t>a</w:t>
      </w:r>
      <w:r>
        <w:rPr>
          <w:color w:val="000009"/>
          <w:spacing w:val="-3"/>
        </w:rPr>
        <w:t xml:space="preserve"> </w:t>
      </w:r>
      <w:r>
        <w:rPr>
          <w:color w:val="000009"/>
        </w:rPr>
        <w:t>15: 85%</w:t>
      </w:r>
      <w:r>
        <w:rPr>
          <w:color w:val="000009"/>
          <w:spacing w:val="-4"/>
        </w:rPr>
        <w:t xml:space="preserve"> </w:t>
      </w:r>
      <w:r>
        <w:rPr>
          <w:color w:val="000009"/>
        </w:rPr>
        <w:t>do</w:t>
      </w:r>
      <w:r>
        <w:rPr>
          <w:color w:val="000009"/>
          <w:spacing w:val="-3"/>
        </w:rPr>
        <w:t xml:space="preserve"> </w:t>
      </w:r>
      <w:r>
        <w:rPr>
          <w:color w:val="000009"/>
        </w:rPr>
        <w:t>preço;</w:t>
      </w:r>
    </w:p>
    <w:p>
      <w:pPr>
        <w:pStyle w:val="ListParagraph"/>
        <w:numPr>
          <w:ilvl w:val="2"/>
          <w:numId w:val="2"/>
        </w:numPr>
        <w:rPr/>
      </w:pPr>
      <w:r>
        <w:rPr>
          <w:color w:val="000009"/>
        </w:rPr>
        <w:t>Faixa</w:t>
      </w:r>
      <w:r>
        <w:rPr>
          <w:color w:val="000009"/>
          <w:spacing w:val="-3"/>
        </w:rPr>
        <w:t xml:space="preserve"> </w:t>
      </w:r>
      <w:r>
        <w:rPr>
          <w:color w:val="000009"/>
        </w:rPr>
        <w:t>05</w:t>
      </w:r>
      <w:r>
        <w:rPr>
          <w:color w:val="000009"/>
          <w:spacing w:val="-2"/>
        </w:rPr>
        <w:t xml:space="preserve"> </w:t>
      </w:r>
      <w:r>
        <w:rPr>
          <w:color w:val="000009"/>
        </w:rPr>
        <w:t>–</w:t>
      </w:r>
      <w:r>
        <w:rPr>
          <w:color w:val="000009"/>
          <w:spacing w:val="-5"/>
        </w:rPr>
        <w:t xml:space="preserve"> </w:t>
      </w:r>
      <w:r>
        <w:rPr>
          <w:color w:val="000009"/>
        </w:rPr>
        <w:t>Fator</w:t>
      </w:r>
      <w:r>
        <w:rPr>
          <w:color w:val="000009"/>
          <w:spacing w:val="-5"/>
        </w:rPr>
        <w:t xml:space="preserve"> </w:t>
      </w:r>
      <w:r>
        <w:rPr>
          <w:color w:val="000009"/>
        </w:rPr>
        <w:t>de</w:t>
      </w:r>
      <w:r>
        <w:rPr>
          <w:color w:val="000009"/>
          <w:spacing w:val="-4"/>
        </w:rPr>
        <w:t xml:space="preserve"> </w:t>
      </w:r>
      <w:r>
        <w:rPr>
          <w:color w:val="000009"/>
        </w:rPr>
        <w:t>Aceitação</w:t>
      </w:r>
      <w:r>
        <w:rPr>
          <w:color w:val="000009"/>
          <w:spacing w:val="-3"/>
        </w:rPr>
        <w:t xml:space="preserve"> </w:t>
      </w:r>
      <w:r>
        <w:rPr>
          <w:color w:val="000009"/>
        </w:rPr>
        <w:t>de</w:t>
      </w:r>
      <w:r>
        <w:rPr>
          <w:color w:val="000009"/>
          <w:spacing w:val="-4"/>
        </w:rPr>
        <w:t xml:space="preserve"> </w:t>
      </w:r>
      <w:r>
        <w:rPr>
          <w:color w:val="000009"/>
        </w:rPr>
        <w:t>16</w:t>
      </w:r>
      <w:r>
        <w:rPr>
          <w:color w:val="000009"/>
          <w:spacing w:val="-4"/>
        </w:rPr>
        <w:t xml:space="preserve"> </w:t>
      </w:r>
      <w:r>
        <w:rPr>
          <w:color w:val="000009"/>
        </w:rPr>
        <w:t>a</w:t>
      </w:r>
      <w:r>
        <w:rPr>
          <w:color w:val="000009"/>
          <w:spacing w:val="-3"/>
        </w:rPr>
        <w:t xml:space="preserve"> </w:t>
      </w:r>
      <w:r>
        <w:rPr>
          <w:color w:val="000009"/>
        </w:rPr>
        <w:t>20: 80%</w:t>
      </w:r>
      <w:r>
        <w:rPr>
          <w:color w:val="000009"/>
          <w:spacing w:val="-4"/>
        </w:rPr>
        <w:t xml:space="preserve"> </w:t>
      </w:r>
      <w:r>
        <w:rPr>
          <w:color w:val="000009"/>
        </w:rPr>
        <w:t>do</w:t>
      </w:r>
      <w:r>
        <w:rPr>
          <w:color w:val="000009"/>
          <w:spacing w:val="-3"/>
        </w:rPr>
        <w:t xml:space="preserve"> </w:t>
      </w:r>
      <w:r>
        <w:rPr>
          <w:color w:val="000009"/>
        </w:rPr>
        <w:t>preço;</w:t>
      </w:r>
    </w:p>
    <w:p>
      <w:pPr>
        <w:pStyle w:val="ListParagraph"/>
        <w:numPr>
          <w:ilvl w:val="2"/>
          <w:numId w:val="2"/>
        </w:numPr>
        <w:rPr/>
      </w:pPr>
      <w:r>
        <w:rPr>
          <w:color w:val="000009"/>
        </w:rPr>
        <w:t>Faixa</w:t>
      </w:r>
      <w:r>
        <w:rPr>
          <w:color w:val="000009"/>
          <w:spacing w:val="-3"/>
        </w:rPr>
        <w:t xml:space="preserve"> </w:t>
      </w:r>
      <w:r>
        <w:rPr>
          <w:color w:val="000009"/>
        </w:rPr>
        <w:t>06</w:t>
      </w:r>
      <w:r>
        <w:rPr>
          <w:color w:val="000009"/>
          <w:spacing w:val="-2"/>
        </w:rPr>
        <w:t xml:space="preserve"> </w:t>
      </w:r>
      <w:r>
        <w:rPr>
          <w:color w:val="000009"/>
        </w:rPr>
        <w:t>–</w:t>
      </w:r>
      <w:r>
        <w:rPr>
          <w:color w:val="000009"/>
          <w:spacing w:val="-5"/>
        </w:rPr>
        <w:t xml:space="preserve"> </w:t>
      </w:r>
      <w:r>
        <w:rPr>
          <w:color w:val="000009"/>
        </w:rPr>
        <w:t>Fator</w:t>
      </w:r>
      <w:r>
        <w:rPr>
          <w:color w:val="000009"/>
          <w:spacing w:val="-5"/>
        </w:rPr>
        <w:t xml:space="preserve"> </w:t>
      </w:r>
      <w:r>
        <w:rPr>
          <w:color w:val="000009"/>
        </w:rPr>
        <w:t>de</w:t>
      </w:r>
      <w:r>
        <w:rPr>
          <w:color w:val="000009"/>
          <w:spacing w:val="-4"/>
        </w:rPr>
        <w:t xml:space="preserve"> </w:t>
      </w:r>
      <w:r>
        <w:rPr>
          <w:color w:val="000009"/>
        </w:rPr>
        <w:t>Aceitação</w:t>
      </w:r>
      <w:r>
        <w:rPr>
          <w:color w:val="000009"/>
          <w:spacing w:val="-3"/>
        </w:rPr>
        <w:t xml:space="preserve"> </w:t>
      </w:r>
      <w:r>
        <w:rPr>
          <w:color w:val="000009"/>
        </w:rPr>
        <w:t>de</w:t>
      </w:r>
      <w:r>
        <w:rPr>
          <w:color w:val="000009"/>
          <w:spacing w:val="-4"/>
        </w:rPr>
        <w:t xml:space="preserve"> </w:t>
      </w:r>
      <w:r>
        <w:rPr>
          <w:color w:val="000009"/>
        </w:rPr>
        <w:t>21</w:t>
      </w:r>
      <w:r>
        <w:rPr>
          <w:color w:val="000009"/>
          <w:spacing w:val="-4"/>
        </w:rPr>
        <w:t xml:space="preserve"> </w:t>
      </w:r>
      <w:r>
        <w:rPr>
          <w:color w:val="000009"/>
        </w:rPr>
        <w:t>a</w:t>
      </w:r>
      <w:r>
        <w:rPr>
          <w:color w:val="000009"/>
          <w:spacing w:val="-3"/>
        </w:rPr>
        <w:t xml:space="preserve"> </w:t>
      </w:r>
      <w:r>
        <w:rPr>
          <w:color w:val="000009"/>
        </w:rPr>
        <w:t>25: 75%</w:t>
      </w:r>
      <w:r>
        <w:rPr>
          <w:color w:val="000009"/>
          <w:spacing w:val="-4"/>
        </w:rPr>
        <w:t xml:space="preserve"> </w:t>
      </w:r>
      <w:r>
        <w:rPr>
          <w:color w:val="000009"/>
        </w:rPr>
        <w:t>do</w:t>
      </w:r>
      <w:r>
        <w:rPr>
          <w:color w:val="000009"/>
          <w:spacing w:val="-3"/>
        </w:rPr>
        <w:t xml:space="preserve"> </w:t>
      </w:r>
      <w:r>
        <w:rPr>
          <w:color w:val="000009"/>
        </w:rPr>
        <w:t>preço;</w:t>
      </w:r>
      <w:r>
        <w:rPr/>
        <w:t xml:space="preserve"> </w:t>
      </w:r>
    </w:p>
    <w:p>
      <w:pPr>
        <w:pStyle w:val="ListParagraph"/>
        <w:numPr>
          <w:ilvl w:val="2"/>
          <w:numId w:val="2"/>
        </w:numPr>
        <w:spacing w:before="0" w:after="240"/>
        <w:contextualSpacing/>
        <w:rPr/>
      </w:pPr>
      <w:r>
        <w:rPr/>
        <w:t>Faixa 07 – Mais de 26: 70% do preço e penalização conforme contrato.</w:t>
      </w:r>
    </w:p>
    <w:p>
      <w:pPr>
        <w:pStyle w:val="ListParagraph"/>
        <w:widowControl w:val="false"/>
        <w:numPr>
          <w:ilvl w:val="1"/>
          <w:numId w:val="2"/>
        </w:numPr>
        <w:tabs>
          <w:tab w:val="clear" w:pos="708"/>
          <w:tab w:val="left" w:pos="1424" w:leader="none"/>
        </w:tabs>
        <w:spacing w:lineRule="auto" w:line="271" w:before="156" w:after="240"/>
        <w:ind w:left="716" w:right="232" w:hanging="432"/>
        <w:contextualSpacing/>
        <w:jc w:val="both"/>
        <w:rPr/>
      </w:pPr>
      <w:r>
        <w:rPr>
          <w:color w:val="000009"/>
        </w:rPr>
        <w:t>Por ocasião a mensuração do Fator de Aceitação, caso seja constatado somatório ponderado superior</w:t>
      </w:r>
      <w:r>
        <w:rPr>
          <w:color w:val="000009"/>
          <w:spacing w:val="1"/>
        </w:rPr>
        <w:t xml:space="preserve"> </w:t>
      </w:r>
      <w:r>
        <w:rPr>
          <w:color w:val="000009"/>
        </w:rPr>
        <w:t>a 26 OCORRÊNCIAS será considerado que a CONTRATADA incorreu em INEXECUÇÃO PARCIAL do objeto e,</w:t>
      </w:r>
      <w:r>
        <w:rPr>
          <w:color w:val="000009"/>
          <w:spacing w:val="1"/>
        </w:rPr>
        <w:t xml:space="preserve"> </w:t>
      </w:r>
      <w:r>
        <w:rPr>
          <w:color w:val="000009"/>
        </w:rPr>
        <w:t>portanto</w:t>
      </w:r>
      <w:r>
        <w:rPr>
          <w:color w:val="000009"/>
          <w:spacing w:val="1"/>
        </w:rPr>
        <w:t xml:space="preserve"> </w:t>
      </w:r>
      <w:r>
        <w:rPr>
          <w:color w:val="000009"/>
        </w:rPr>
        <w:t>será</w:t>
      </w:r>
      <w:r>
        <w:rPr>
          <w:color w:val="000009"/>
          <w:spacing w:val="1"/>
        </w:rPr>
        <w:t xml:space="preserve"> </w:t>
      </w:r>
      <w:r>
        <w:rPr>
          <w:color w:val="000009"/>
        </w:rPr>
        <w:t>enquadrada</w:t>
      </w:r>
      <w:r>
        <w:rPr>
          <w:color w:val="000009"/>
          <w:spacing w:val="1"/>
        </w:rPr>
        <w:t xml:space="preserve"> </w:t>
      </w:r>
      <w:r>
        <w:rPr>
          <w:color w:val="000009"/>
        </w:rPr>
        <w:t>no</w:t>
      </w:r>
      <w:r>
        <w:rPr>
          <w:color w:val="000009"/>
          <w:spacing w:val="1"/>
        </w:rPr>
        <w:t xml:space="preserve"> </w:t>
      </w:r>
      <w:r>
        <w:rPr>
          <w:color w:val="000009"/>
        </w:rPr>
        <w:t>item</w:t>
      </w:r>
      <w:r>
        <w:rPr>
          <w:color w:val="000009"/>
          <w:spacing w:val="1"/>
        </w:rPr>
        <w:t xml:space="preserve"> </w:t>
      </w:r>
      <w:r>
        <w:rPr/>
        <w:t>20.1.1</w:t>
      </w:r>
      <w:r>
        <w:rPr>
          <w:spacing w:val="1"/>
        </w:rPr>
        <w:t xml:space="preserve"> </w:t>
      </w:r>
      <w:r>
        <w:rPr>
          <w:color w:val="000009"/>
        </w:rPr>
        <w:t>deste</w:t>
      </w:r>
      <w:r>
        <w:rPr>
          <w:color w:val="000009"/>
          <w:spacing w:val="1"/>
        </w:rPr>
        <w:t xml:space="preserve"> </w:t>
      </w:r>
      <w:r>
        <w:rPr>
          <w:color w:val="000009"/>
        </w:rPr>
        <w:t>Termo</w:t>
      </w:r>
      <w:r>
        <w:rPr>
          <w:color w:val="000009"/>
          <w:spacing w:val="1"/>
        </w:rPr>
        <w:t xml:space="preserve"> </w:t>
      </w:r>
      <w:r>
        <w:rPr>
          <w:color w:val="000009"/>
        </w:rPr>
        <w:t>de</w:t>
      </w:r>
      <w:r>
        <w:rPr>
          <w:color w:val="000009"/>
          <w:spacing w:val="1"/>
        </w:rPr>
        <w:t xml:space="preserve"> </w:t>
      </w:r>
      <w:r>
        <w:rPr>
          <w:color w:val="000009"/>
        </w:rPr>
        <w:t>Referência</w:t>
      </w:r>
      <w:r>
        <w:rPr>
          <w:color w:val="000009"/>
          <w:spacing w:val="1"/>
        </w:rPr>
        <w:t xml:space="preserve"> </w:t>
      </w:r>
      <w:r>
        <w:rPr>
          <w:color w:val="000009"/>
        </w:rPr>
        <w:t>com</w:t>
      </w:r>
      <w:r>
        <w:rPr>
          <w:color w:val="000009"/>
          <w:spacing w:val="1"/>
        </w:rPr>
        <w:t xml:space="preserve"> </w:t>
      </w:r>
      <w:r>
        <w:rPr>
          <w:color w:val="000009"/>
        </w:rPr>
        <w:t>incidência</w:t>
      </w:r>
      <w:r>
        <w:rPr>
          <w:color w:val="000009"/>
          <w:spacing w:val="1"/>
        </w:rPr>
        <w:t xml:space="preserve"> </w:t>
      </w:r>
      <w:r>
        <w:rPr>
          <w:color w:val="000009"/>
        </w:rPr>
        <w:t>das</w:t>
      </w:r>
      <w:r>
        <w:rPr>
          <w:color w:val="000009"/>
          <w:spacing w:val="1"/>
        </w:rPr>
        <w:t xml:space="preserve"> </w:t>
      </w:r>
      <w:r>
        <w:rPr>
          <w:color w:val="000009"/>
        </w:rPr>
        <w:t>Sanções</w:t>
      </w:r>
      <w:r>
        <w:rPr>
          <w:color w:val="000009"/>
          <w:spacing w:val="1"/>
        </w:rPr>
        <w:t xml:space="preserve"> </w:t>
      </w:r>
      <w:r>
        <w:rPr>
          <w:color w:val="000009"/>
        </w:rPr>
        <w:t>Administrativas</w:t>
      </w:r>
      <w:r>
        <w:rPr>
          <w:color w:val="000009"/>
          <w:spacing w:val="-3"/>
        </w:rPr>
        <w:t xml:space="preserve"> </w:t>
      </w:r>
      <w:r>
        <w:rPr>
          <w:color w:val="000009"/>
        </w:rPr>
        <w:t>cabíveis.</w:t>
      </w:r>
    </w:p>
    <w:p>
      <w:pPr>
        <w:pStyle w:val="ListParagraph"/>
        <w:widowControl w:val="false"/>
        <w:numPr>
          <w:ilvl w:val="1"/>
          <w:numId w:val="2"/>
        </w:numPr>
        <w:tabs>
          <w:tab w:val="clear" w:pos="708"/>
          <w:tab w:val="left" w:pos="856" w:leader="none"/>
        </w:tabs>
        <w:spacing w:lineRule="auto" w:line="264" w:before="39" w:after="0"/>
        <w:ind w:left="135" w:right="801" w:hanging="0"/>
        <w:contextualSpacing w:val="false"/>
        <w:jc w:val="both"/>
        <w:rPr/>
      </w:pPr>
      <w:r>
        <w:rPr>
          <w:color w:val="000009"/>
        </w:rPr>
        <w:t xml:space="preserve">        </w:t>
      </w:r>
      <w:r>
        <w:rPr>
          <w:color w:val="000009"/>
        </w:rPr>
        <w:t>Será admitido 2 ocorrências como margem de tolerância ficando a CONTRATADA responsável pela</w:t>
      </w:r>
      <w:r>
        <w:rPr>
          <w:color w:val="000009"/>
          <w:spacing w:val="1"/>
        </w:rPr>
        <w:t xml:space="preserve"> </w:t>
      </w:r>
      <w:r>
        <w:rPr>
          <w:color w:val="000009"/>
        </w:rPr>
        <w:t>correção</w:t>
      </w:r>
      <w:r>
        <w:rPr>
          <w:color w:val="000009"/>
          <w:spacing w:val="-2"/>
        </w:rPr>
        <w:t xml:space="preserve"> </w:t>
      </w:r>
      <w:r>
        <w:rPr>
          <w:color w:val="000009"/>
        </w:rPr>
        <w:t>das</w:t>
      </w:r>
      <w:r>
        <w:rPr>
          <w:color w:val="000009"/>
          <w:spacing w:val="-2"/>
        </w:rPr>
        <w:t xml:space="preserve"> </w:t>
      </w:r>
      <w:r>
        <w:rPr>
          <w:color w:val="000009"/>
        </w:rPr>
        <w:t>irregularidades assim</w:t>
      </w:r>
      <w:r>
        <w:rPr>
          <w:color w:val="000009"/>
          <w:spacing w:val="-3"/>
        </w:rPr>
        <w:t xml:space="preserve"> </w:t>
      </w:r>
      <w:r>
        <w:rPr>
          <w:color w:val="000009"/>
        </w:rPr>
        <w:t>que notificada.</w:t>
      </w:r>
    </w:p>
    <w:p>
      <w:pPr>
        <w:pStyle w:val="ListParagraph"/>
        <w:widowControl w:val="false"/>
        <w:numPr>
          <w:ilvl w:val="1"/>
          <w:numId w:val="2"/>
        </w:numPr>
        <w:tabs>
          <w:tab w:val="clear" w:pos="708"/>
          <w:tab w:val="left" w:pos="856" w:leader="none"/>
        </w:tabs>
        <w:spacing w:lineRule="auto" w:line="271" w:before="127" w:after="0"/>
        <w:ind w:left="135" w:right="809" w:hanging="0"/>
        <w:contextualSpacing w:val="false"/>
        <w:jc w:val="both"/>
        <w:rPr/>
      </w:pPr>
      <w:r>
        <w:rPr>
          <w:color w:val="000009"/>
        </w:rPr>
        <w:t xml:space="preserve">       </w:t>
      </w:r>
      <w:r>
        <w:rPr>
          <w:color w:val="000009"/>
        </w:rPr>
        <w:t>Na hipótese do item anterior, será aplicada a penalidade de advertência conforme o disposto do item</w:t>
      </w:r>
      <w:r>
        <w:rPr>
          <w:color w:val="000009"/>
          <w:spacing w:val="1"/>
        </w:rPr>
        <w:t xml:space="preserve"> </w:t>
      </w:r>
      <w:r>
        <w:rPr/>
        <w:t>20.2.1.</w:t>
      </w:r>
    </w:p>
    <w:p>
      <w:pPr>
        <w:pStyle w:val="ListParagraph"/>
        <w:widowControl w:val="false"/>
        <w:numPr>
          <w:ilvl w:val="1"/>
          <w:numId w:val="2"/>
        </w:numPr>
        <w:tabs>
          <w:tab w:val="clear" w:pos="708"/>
          <w:tab w:val="left" w:pos="856" w:leader="none"/>
        </w:tabs>
        <w:spacing w:lineRule="auto" w:line="271" w:before="123" w:after="0"/>
        <w:ind w:left="135" w:right="803" w:hanging="0"/>
        <w:contextualSpacing w:val="false"/>
        <w:jc w:val="both"/>
        <w:rPr/>
      </w:pPr>
      <w:r>
        <w:rPr>
          <w:color w:val="000009"/>
        </w:rPr>
        <w:t xml:space="preserve">      </w:t>
      </w:r>
      <w:r>
        <w:rPr>
          <w:color w:val="000009"/>
        </w:rPr>
        <w:t>Os pagamentos serão efetuados no prazo de até 5 (cinco) dias úteis contados do recebimento da</w:t>
      </w:r>
      <w:r>
        <w:rPr>
          <w:color w:val="000009"/>
          <w:spacing w:val="1"/>
        </w:rPr>
        <w:t xml:space="preserve"> </w:t>
      </w:r>
      <w:r>
        <w:rPr>
          <w:color w:val="000009"/>
        </w:rPr>
        <w:t>respectiva Nota Fiscal Eletrônica certificada pela fiscalização do CONTRATANTE, conforme o que prescreve nos</w:t>
      </w:r>
      <w:r>
        <w:rPr>
          <w:color w:val="000009"/>
          <w:spacing w:val="-1"/>
        </w:rPr>
        <w:t xml:space="preserve"> </w:t>
      </w:r>
      <w:r>
        <w:rPr>
          <w:color w:val="000009"/>
        </w:rPr>
        <w:t>dispositivos deste</w:t>
      </w:r>
      <w:r>
        <w:rPr>
          <w:color w:val="000009"/>
          <w:spacing w:val="-1"/>
        </w:rPr>
        <w:t xml:space="preserve"> </w:t>
      </w:r>
      <w:r>
        <w:rPr>
          <w:color w:val="000009"/>
        </w:rPr>
        <w:t>Termo.</w:t>
      </w:r>
    </w:p>
    <w:p>
      <w:pPr>
        <w:pStyle w:val="ListParagraph"/>
        <w:widowControl w:val="false"/>
        <w:numPr>
          <w:ilvl w:val="1"/>
          <w:numId w:val="2"/>
        </w:numPr>
        <w:tabs>
          <w:tab w:val="clear" w:pos="708"/>
          <w:tab w:val="left" w:pos="856" w:leader="none"/>
        </w:tabs>
        <w:spacing w:lineRule="auto" w:line="271" w:before="125" w:after="0"/>
        <w:ind w:left="135" w:right="792" w:hanging="0"/>
        <w:contextualSpacing w:val="false"/>
        <w:jc w:val="both"/>
        <w:rPr/>
      </w:pPr>
      <w:r>
        <w:rPr>
          <w:color w:val="000009"/>
        </w:rPr>
        <w:t xml:space="preserve">     </w:t>
      </w:r>
      <w:r>
        <w:rPr>
          <w:color w:val="000009"/>
        </w:rPr>
        <w:t>Os pagamentos serão proporcionais aos atendimentos das metas estabelecidas no Acordo de Nível de</w:t>
      </w:r>
      <w:r>
        <w:rPr>
          <w:color w:val="000009"/>
          <w:spacing w:val="1"/>
        </w:rPr>
        <w:t xml:space="preserve"> </w:t>
      </w:r>
      <w:r>
        <w:rPr>
          <w:color w:val="000009"/>
        </w:rPr>
        <w:t>Serviços – ANS, que define objetivamente os níveis esperados</w:t>
      </w:r>
      <w:r>
        <w:rPr>
          <w:color w:val="000009"/>
          <w:spacing w:val="1"/>
        </w:rPr>
        <w:t xml:space="preserve"> </w:t>
      </w:r>
      <w:r>
        <w:rPr>
          <w:color w:val="000009"/>
        </w:rPr>
        <w:t>de qualidade da prestação dos</w:t>
      </w:r>
      <w:r>
        <w:rPr>
          <w:color w:val="000009"/>
          <w:spacing w:val="1"/>
        </w:rPr>
        <w:t xml:space="preserve"> </w:t>
      </w:r>
      <w:r>
        <w:rPr>
          <w:color w:val="000009"/>
        </w:rPr>
        <w:t>serviços</w:t>
      </w:r>
      <w:r>
        <w:rPr>
          <w:color w:val="000009"/>
          <w:spacing w:val="-1"/>
        </w:rPr>
        <w:t xml:space="preserve"> </w:t>
      </w:r>
      <w:r>
        <w:rPr>
          <w:color w:val="000009"/>
        </w:rPr>
        <w:t>e</w:t>
      </w:r>
      <w:r>
        <w:rPr>
          <w:color w:val="000009"/>
          <w:spacing w:val="-1"/>
        </w:rPr>
        <w:t xml:space="preserve"> </w:t>
      </w:r>
      <w:r>
        <w:rPr>
          <w:color w:val="000009"/>
        </w:rPr>
        <w:t>as respectivas</w:t>
      </w:r>
      <w:r>
        <w:rPr>
          <w:color w:val="000009"/>
          <w:spacing w:val="-3"/>
        </w:rPr>
        <w:t xml:space="preserve"> </w:t>
      </w:r>
      <w:r>
        <w:rPr>
          <w:color w:val="000009"/>
        </w:rPr>
        <w:t>adequações dos pagamentos.</w:t>
      </w:r>
    </w:p>
    <w:p>
      <w:pPr>
        <w:pStyle w:val="ListParagraph"/>
        <w:widowControl w:val="false"/>
        <w:numPr>
          <w:ilvl w:val="1"/>
          <w:numId w:val="2"/>
        </w:numPr>
        <w:tabs>
          <w:tab w:val="clear" w:pos="708"/>
          <w:tab w:val="left" w:pos="856" w:leader="none"/>
        </w:tabs>
        <w:spacing w:lineRule="auto" w:line="271" w:before="119" w:after="0"/>
        <w:ind w:left="135" w:right="791" w:hanging="0"/>
        <w:contextualSpacing w:val="false"/>
        <w:jc w:val="both"/>
        <w:rPr/>
      </w:pPr>
      <w:r>
        <w:rPr>
          <w:color w:val="000009"/>
        </w:rPr>
        <w:t xml:space="preserve">   </w:t>
      </w:r>
      <w:r>
        <w:rPr>
          <w:color w:val="000009"/>
        </w:rPr>
        <w:t>Ocorrerá a glosa no pagamento devido, sem prejuízo das sanções cabíveis, quando a contratada não</w:t>
      </w:r>
      <w:r>
        <w:rPr>
          <w:color w:val="000009"/>
          <w:spacing w:val="1"/>
        </w:rPr>
        <w:t xml:space="preserve"> </w:t>
      </w:r>
      <w:r>
        <w:rPr>
          <w:color w:val="000009"/>
        </w:rPr>
        <w:t>produzir os resultados, ou não executar com a qualidade mínima exigida as atividades contratadas, conforme</w:t>
      </w:r>
      <w:r>
        <w:rPr>
          <w:color w:val="000009"/>
          <w:spacing w:val="1"/>
        </w:rPr>
        <w:t xml:space="preserve"> </w:t>
      </w:r>
      <w:r>
        <w:rPr>
          <w:color w:val="000009"/>
        </w:rPr>
        <w:t>disposto</w:t>
      </w:r>
      <w:r>
        <w:rPr>
          <w:color w:val="000009"/>
          <w:spacing w:val="-4"/>
        </w:rPr>
        <w:t xml:space="preserve"> </w:t>
      </w:r>
      <w:r>
        <w:rPr>
          <w:color w:val="000009"/>
        </w:rPr>
        <w:t>no</w:t>
      </w:r>
      <w:r>
        <w:rPr>
          <w:color w:val="000009"/>
          <w:spacing w:val="-2"/>
        </w:rPr>
        <w:t xml:space="preserve"> </w:t>
      </w:r>
      <w:r>
        <w:rPr/>
        <w:t>Instrumento</w:t>
      </w:r>
      <w:r>
        <w:rPr>
          <w:spacing w:val="-5"/>
        </w:rPr>
        <w:t xml:space="preserve"> </w:t>
      </w:r>
      <w:r>
        <w:rPr/>
        <w:t>de</w:t>
      </w:r>
      <w:r>
        <w:rPr>
          <w:spacing w:val="-4"/>
        </w:rPr>
        <w:t xml:space="preserve"> </w:t>
      </w:r>
      <w:r>
        <w:rPr/>
        <w:t>Medição</w:t>
      </w:r>
      <w:r>
        <w:rPr>
          <w:spacing w:val="-4"/>
        </w:rPr>
        <w:t xml:space="preserve"> </w:t>
      </w:r>
      <w:r>
        <w:rPr/>
        <w:t>de</w:t>
      </w:r>
      <w:r>
        <w:rPr>
          <w:spacing w:val="-5"/>
        </w:rPr>
        <w:t xml:space="preserve"> </w:t>
      </w:r>
      <w:r>
        <w:rPr/>
        <w:t>Resultado</w:t>
      </w:r>
      <w:r>
        <w:rPr>
          <w:spacing w:val="-4"/>
        </w:rPr>
        <w:t xml:space="preserve"> </w:t>
      </w:r>
      <w:r>
        <w:rPr/>
        <w:t>-</w:t>
      </w:r>
      <w:r>
        <w:rPr>
          <w:spacing w:val="-5"/>
        </w:rPr>
        <w:t xml:space="preserve"> </w:t>
      </w:r>
      <w:r>
        <w:rPr/>
        <w:t>IMR</w:t>
      </w:r>
      <w:r>
        <w:rPr>
          <w:spacing w:val="-4"/>
        </w:rPr>
        <w:t xml:space="preserve"> </w:t>
      </w:r>
      <w:r>
        <w:rPr/>
        <w:t>Anexo</w:t>
      </w:r>
      <w:r>
        <w:rPr>
          <w:spacing w:val="-3"/>
        </w:rPr>
        <w:t xml:space="preserve"> </w:t>
      </w:r>
      <w:r>
        <w:rPr/>
        <w:t>V-B</w:t>
      </w:r>
      <w:r>
        <w:rPr>
          <w:spacing w:val="-5"/>
        </w:rPr>
        <w:t xml:space="preserve"> </w:t>
      </w:r>
      <w:r>
        <w:rPr/>
        <w:t>da</w:t>
      </w:r>
      <w:r>
        <w:rPr>
          <w:spacing w:val="-4"/>
        </w:rPr>
        <w:t xml:space="preserve"> </w:t>
      </w:r>
      <w:r>
        <w:rPr/>
        <w:t>IN</w:t>
      </w:r>
      <w:r>
        <w:rPr>
          <w:spacing w:val="-4"/>
        </w:rPr>
        <w:t xml:space="preserve"> </w:t>
      </w:r>
      <w:r>
        <w:rPr/>
        <w:t>SEGES/MPDG</w:t>
      </w:r>
      <w:r>
        <w:rPr>
          <w:spacing w:val="-4"/>
        </w:rPr>
        <w:t xml:space="preserve"> </w:t>
      </w:r>
      <w:r>
        <w:rPr/>
        <w:t>N.5/2017</w:t>
      </w:r>
      <w:r>
        <w:rPr>
          <w:spacing w:val="5"/>
        </w:rPr>
        <w:t xml:space="preserve"> </w:t>
      </w:r>
      <w:r>
        <w:rPr>
          <w:color w:val="000009"/>
        </w:rPr>
        <w:t>(Anexo</w:t>
      </w:r>
      <w:r>
        <w:rPr>
          <w:color w:val="000009"/>
          <w:spacing w:val="-4"/>
        </w:rPr>
        <w:t xml:space="preserve"> </w:t>
      </w:r>
      <w:r>
        <w:rPr>
          <w:color w:val="000009"/>
        </w:rPr>
        <w:t>V).</w:t>
      </w:r>
    </w:p>
    <w:p>
      <w:pPr>
        <w:pStyle w:val="ListParagraph"/>
        <w:widowControl w:val="false"/>
        <w:numPr>
          <w:ilvl w:val="1"/>
          <w:numId w:val="2"/>
        </w:numPr>
        <w:tabs>
          <w:tab w:val="clear" w:pos="708"/>
          <w:tab w:val="left" w:pos="856" w:leader="none"/>
        </w:tabs>
        <w:spacing w:lineRule="auto" w:line="271" w:before="125" w:after="0"/>
        <w:ind w:left="135" w:right="799" w:hanging="0"/>
        <w:contextualSpacing w:val="false"/>
        <w:jc w:val="both"/>
        <w:rPr/>
      </w:pPr>
      <w:r>
        <w:rPr>
          <w:color w:val="000009"/>
        </w:rPr>
        <w:t xml:space="preserve">      </w:t>
      </w:r>
      <w:r>
        <w:rPr>
          <w:color w:val="000009"/>
        </w:rPr>
        <w:t>Quando do pagamento a ser efetuado pelo CONTRATANTE, a CONTRATADA deverá comprovar sua</w:t>
      </w:r>
      <w:r>
        <w:rPr>
          <w:color w:val="000009"/>
          <w:spacing w:val="1"/>
        </w:rPr>
        <w:t xml:space="preserve"> </w:t>
      </w:r>
      <w:r>
        <w:rPr>
          <w:color w:val="000009"/>
        </w:rPr>
        <w:t>Regularidade Fiscal Federal no tocante a Documentação Obrigatória (Receita Federal, FGTS, INSS e CNDT). Em</w:t>
      </w:r>
      <w:r>
        <w:rPr>
          <w:color w:val="000009"/>
          <w:spacing w:val="1"/>
        </w:rPr>
        <w:t xml:space="preserve"> </w:t>
      </w:r>
      <w:r>
        <w:rPr>
          <w:color w:val="000009"/>
        </w:rPr>
        <w:t>caso de irregularidade fiscal haverá suspensão do prazo de pagamento e o contratado será notificado para que</w:t>
      </w:r>
      <w:r>
        <w:rPr>
          <w:color w:val="000009"/>
          <w:spacing w:val="1"/>
        </w:rPr>
        <w:t xml:space="preserve"> </w:t>
      </w:r>
      <w:r>
        <w:rPr>
          <w:color w:val="000009"/>
        </w:rPr>
        <w:t>sejam</w:t>
      </w:r>
      <w:r>
        <w:rPr>
          <w:color w:val="000009"/>
          <w:spacing w:val="-4"/>
        </w:rPr>
        <w:t xml:space="preserve"> </w:t>
      </w:r>
      <w:r>
        <w:rPr>
          <w:color w:val="000009"/>
        </w:rPr>
        <w:t>sanadas</w:t>
      </w:r>
      <w:r>
        <w:rPr>
          <w:color w:val="000009"/>
          <w:spacing w:val="-1"/>
        </w:rPr>
        <w:t xml:space="preserve"> </w:t>
      </w:r>
      <w:r>
        <w:rPr>
          <w:color w:val="000009"/>
        </w:rPr>
        <w:t>as</w:t>
      </w:r>
      <w:r>
        <w:rPr>
          <w:color w:val="000009"/>
          <w:spacing w:val="-2"/>
        </w:rPr>
        <w:t xml:space="preserve"> </w:t>
      </w:r>
      <w:r>
        <w:rPr>
          <w:color w:val="000009"/>
        </w:rPr>
        <w:t>pendências</w:t>
      </w:r>
      <w:r>
        <w:rPr>
          <w:color w:val="000009"/>
          <w:spacing w:val="-1"/>
        </w:rPr>
        <w:t xml:space="preserve"> </w:t>
      </w:r>
      <w:r>
        <w:rPr>
          <w:color w:val="000009"/>
        </w:rPr>
        <w:t>no</w:t>
      </w:r>
      <w:r>
        <w:rPr>
          <w:color w:val="000009"/>
          <w:spacing w:val="-2"/>
        </w:rPr>
        <w:t xml:space="preserve"> </w:t>
      </w:r>
      <w:r>
        <w:rPr>
          <w:color w:val="000009"/>
        </w:rPr>
        <w:t>prazo</w:t>
      </w:r>
      <w:r>
        <w:rPr>
          <w:color w:val="000009"/>
          <w:spacing w:val="-2"/>
        </w:rPr>
        <w:t xml:space="preserve"> </w:t>
      </w:r>
      <w:r>
        <w:rPr>
          <w:color w:val="000009"/>
        </w:rPr>
        <w:t>de</w:t>
      </w:r>
      <w:r>
        <w:rPr>
          <w:color w:val="000009"/>
          <w:spacing w:val="-3"/>
        </w:rPr>
        <w:t xml:space="preserve"> </w:t>
      </w:r>
      <w:r>
        <w:rPr>
          <w:color w:val="000009"/>
        </w:rPr>
        <w:t>5 (cinco)</w:t>
      </w:r>
      <w:r>
        <w:rPr>
          <w:color w:val="000009"/>
          <w:spacing w:val="-3"/>
        </w:rPr>
        <w:t xml:space="preserve"> </w:t>
      </w:r>
      <w:r>
        <w:rPr>
          <w:color w:val="000009"/>
        </w:rPr>
        <w:t>dias</w:t>
      </w:r>
      <w:r>
        <w:rPr>
          <w:color w:val="000009"/>
          <w:spacing w:val="-1"/>
        </w:rPr>
        <w:t xml:space="preserve"> </w:t>
      </w:r>
      <w:r>
        <w:rPr>
          <w:color w:val="000009"/>
        </w:rPr>
        <w:t>úteis,</w:t>
      </w:r>
      <w:r>
        <w:rPr>
          <w:color w:val="000009"/>
          <w:spacing w:val="-2"/>
        </w:rPr>
        <w:t xml:space="preserve"> </w:t>
      </w:r>
      <w:r>
        <w:rPr>
          <w:color w:val="000009"/>
        </w:rPr>
        <w:t>prorrogável</w:t>
      </w:r>
      <w:r>
        <w:rPr>
          <w:color w:val="000009"/>
          <w:spacing w:val="-1"/>
        </w:rPr>
        <w:t xml:space="preserve"> </w:t>
      </w:r>
      <w:r>
        <w:rPr>
          <w:color w:val="000009"/>
        </w:rPr>
        <w:t>por</w:t>
      </w:r>
      <w:r>
        <w:rPr>
          <w:color w:val="000009"/>
          <w:spacing w:val="-2"/>
        </w:rPr>
        <w:t xml:space="preserve"> </w:t>
      </w:r>
      <w:r>
        <w:rPr>
          <w:color w:val="000009"/>
        </w:rPr>
        <w:t>igual</w:t>
      </w:r>
      <w:r>
        <w:rPr>
          <w:color w:val="000009"/>
          <w:spacing w:val="-1"/>
        </w:rPr>
        <w:t xml:space="preserve"> </w:t>
      </w:r>
      <w:r>
        <w:rPr>
          <w:color w:val="000009"/>
        </w:rPr>
        <w:t>período.</w:t>
      </w:r>
    </w:p>
    <w:p>
      <w:pPr>
        <w:pStyle w:val="ListParagraph"/>
        <w:widowControl w:val="false"/>
        <w:numPr>
          <w:ilvl w:val="1"/>
          <w:numId w:val="2"/>
        </w:numPr>
        <w:tabs>
          <w:tab w:val="clear" w:pos="708"/>
          <w:tab w:val="left" w:pos="856" w:leader="none"/>
        </w:tabs>
        <w:spacing w:lineRule="auto" w:line="271" w:before="121" w:after="0"/>
        <w:ind w:left="135" w:right="813" w:hanging="0"/>
        <w:contextualSpacing w:val="false"/>
        <w:jc w:val="both"/>
        <w:rPr/>
      </w:pPr>
      <w:r>
        <w:rPr>
          <w:color w:val="000009"/>
        </w:rPr>
        <w:t xml:space="preserve">      </w:t>
      </w:r>
      <w:r>
        <w:rPr>
          <w:color w:val="000009"/>
        </w:rPr>
        <w:t>O pagamento será creditado em favor da CONTRATADA por meio de Ordem Bancaria, em qualquer</w:t>
      </w:r>
      <w:r>
        <w:rPr>
          <w:color w:val="000009"/>
          <w:spacing w:val="1"/>
        </w:rPr>
        <w:t xml:space="preserve"> </w:t>
      </w:r>
      <w:r>
        <w:rPr>
          <w:color w:val="000009"/>
        </w:rPr>
        <w:t>instituição</w:t>
      </w:r>
      <w:r>
        <w:rPr>
          <w:color w:val="000009"/>
          <w:spacing w:val="-4"/>
        </w:rPr>
        <w:t xml:space="preserve"> </w:t>
      </w:r>
      <w:r>
        <w:rPr>
          <w:color w:val="000009"/>
        </w:rPr>
        <w:t>bancária</w:t>
      </w:r>
      <w:r>
        <w:rPr>
          <w:color w:val="000009"/>
          <w:spacing w:val="-5"/>
        </w:rPr>
        <w:t xml:space="preserve"> </w:t>
      </w:r>
      <w:r>
        <w:rPr>
          <w:color w:val="000009"/>
        </w:rPr>
        <w:t>indicada</w:t>
      </w:r>
      <w:r>
        <w:rPr>
          <w:color w:val="000009"/>
          <w:spacing w:val="-5"/>
        </w:rPr>
        <w:t xml:space="preserve"> </w:t>
      </w:r>
      <w:r>
        <w:rPr>
          <w:color w:val="000009"/>
        </w:rPr>
        <w:t>na</w:t>
      </w:r>
      <w:r>
        <w:rPr>
          <w:color w:val="000009"/>
          <w:spacing w:val="-6"/>
        </w:rPr>
        <w:t xml:space="preserve"> </w:t>
      </w:r>
      <w:r>
        <w:rPr>
          <w:color w:val="000009"/>
        </w:rPr>
        <w:t>proposta,</w:t>
      </w:r>
      <w:r>
        <w:rPr>
          <w:color w:val="000009"/>
          <w:spacing w:val="-3"/>
        </w:rPr>
        <w:t xml:space="preserve"> </w:t>
      </w:r>
      <w:r>
        <w:rPr>
          <w:color w:val="000009"/>
        </w:rPr>
        <w:t>devendo</w:t>
      </w:r>
      <w:r>
        <w:rPr>
          <w:color w:val="000009"/>
          <w:spacing w:val="-4"/>
        </w:rPr>
        <w:t xml:space="preserve"> </w:t>
      </w:r>
      <w:r>
        <w:rPr>
          <w:color w:val="000009"/>
        </w:rPr>
        <w:t>para</w:t>
      </w:r>
      <w:r>
        <w:rPr>
          <w:color w:val="000009"/>
          <w:spacing w:val="-5"/>
        </w:rPr>
        <w:t xml:space="preserve"> </w:t>
      </w:r>
      <w:r>
        <w:rPr>
          <w:color w:val="000009"/>
        </w:rPr>
        <w:t>isto</w:t>
      </w:r>
      <w:r>
        <w:rPr>
          <w:color w:val="000009"/>
          <w:spacing w:val="-5"/>
        </w:rPr>
        <w:t xml:space="preserve"> </w:t>
      </w:r>
      <w:r>
        <w:rPr>
          <w:color w:val="000009"/>
        </w:rPr>
        <w:t>ficar</w:t>
      </w:r>
      <w:r>
        <w:rPr>
          <w:color w:val="000009"/>
          <w:spacing w:val="-5"/>
        </w:rPr>
        <w:t xml:space="preserve"> </w:t>
      </w:r>
      <w:r>
        <w:rPr>
          <w:color w:val="000009"/>
        </w:rPr>
        <w:t>especificado</w:t>
      </w:r>
      <w:r>
        <w:rPr>
          <w:color w:val="000009"/>
          <w:spacing w:val="-5"/>
        </w:rPr>
        <w:t xml:space="preserve"> </w:t>
      </w:r>
      <w:r>
        <w:rPr>
          <w:color w:val="000009"/>
        </w:rPr>
        <w:t>o</w:t>
      </w:r>
      <w:r>
        <w:rPr>
          <w:color w:val="000009"/>
          <w:spacing w:val="-4"/>
        </w:rPr>
        <w:t xml:space="preserve"> </w:t>
      </w:r>
      <w:r>
        <w:rPr>
          <w:color w:val="000009"/>
        </w:rPr>
        <w:t>nome</w:t>
      </w:r>
      <w:r>
        <w:rPr>
          <w:color w:val="000009"/>
          <w:spacing w:val="-3"/>
        </w:rPr>
        <w:t xml:space="preserve"> </w:t>
      </w:r>
      <w:r>
        <w:rPr>
          <w:color w:val="000009"/>
        </w:rPr>
        <w:t>do</w:t>
      </w:r>
      <w:r>
        <w:rPr>
          <w:color w:val="000009"/>
          <w:spacing w:val="-6"/>
        </w:rPr>
        <w:t xml:space="preserve"> </w:t>
      </w:r>
      <w:r>
        <w:rPr>
          <w:color w:val="000009"/>
        </w:rPr>
        <w:t>banco,</w:t>
      </w:r>
      <w:r>
        <w:rPr>
          <w:color w:val="000009"/>
          <w:spacing w:val="-3"/>
        </w:rPr>
        <w:t xml:space="preserve"> </w:t>
      </w:r>
      <w:r>
        <w:rPr>
          <w:color w:val="000009"/>
        </w:rPr>
        <w:t>agência</w:t>
      </w:r>
      <w:r>
        <w:rPr>
          <w:color w:val="000009"/>
          <w:spacing w:val="-4"/>
        </w:rPr>
        <w:t xml:space="preserve"> </w:t>
      </w:r>
      <w:r>
        <w:rPr>
          <w:color w:val="000009"/>
        </w:rPr>
        <w:t>com</w:t>
      </w:r>
      <w:r>
        <w:rPr>
          <w:color w:val="000009"/>
          <w:spacing w:val="-5"/>
        </w:rPr>
        <w:t xml:space="preserve"> </w:t>
      </w:r>
      <w:r>
        <w:rPr>
          <w:color w:val="000009"/>
        </w:rPr>
        <w:t>a</w:t>
      </w:r>
      <w:r>
        <w:rPr>
          <w:color w:val="000009"/>
          <w:spacing w:val="1"/>
        </w:rPr>
        <w:t xml:space="preserve"> </w:t>
      </w:r>
      <w:r>
        <w:rPr>
          <w:color w:val="000009"/>
        </w:rPr>
        <w:t>qual</w:t>
      </w:r>
      <w:r>
        <w:rPr>
          <w:color w:val="000009"/>
          <w:spacing w:val="-2"/>
        </w:rPr>
        <w:t xml:space="preserve"> </w:t>
      </w:r>
      <w:r>
        <w:rPr>
          <w:color w:val="000009"/>
        </w:rPr>
        <w:t>opera,</w:t>
      </w:r>
      <w:r>
        <w:rPr>
          <w:color w:val="000009"/>
          <w:spacing w:val="-2"/>
        </w:rPr>
        <w:t xml:space="preserve"> </w:t>
      </w:r>
      <w:r>
        <w:rPr>
          <w:color w:val="000009"/>
        </w:rPr>
        <w:t>localidade</w:t>
      </w:r>
      <w:r>
        <w:rPr>
          <w:color w:val="000009"/>
          <w:spacing w:val="-1"/>
        </w:rPr>
        <w:t xml:space="preserve"> </w:t>
      </w:r>
      <w:r>
        <w:rPr>
          <w:color w:val="000009"/>
        </w:rPr>
        <w:t>e</w:t>
      </w:r>
      <w:r>
        <w:rPr>
          <w:color w:val="000009"/>
          <w:spacing w:val="-3"/>
        </w:rPr>
        <w:t xml:space="preserve"> </w:t>
      </w:r>
      <w:r>
        <w:rPr>
          <w:color w:val="000009"/>
        </w:rPr>
        <w:t>número</w:t>
      </w:r>
      <w:r>
        <w:rPr>
          <w:color w:val="000009"/>
          <w:spacing w:val="-1"/>
        </w:rPr>
        <w:t xml:space="preserve"> </w:t>
      </w:r>
      <w:r>
        <w:rPr>
          <w:color w:val="000009"/>
        </w:rPr>
        <w:t>da</w:t>
      </w:r>
      <w:r>
        <w:rPr>
          <w:color w:val="000009"/>
          <w:spacing w:val="-2"/>
        </w:rPr>
        <w:t xml:space="preserve"> </w:t>
      </w:r>
      <w:r>
        <w:rPr>
          <w:color w:val="000009"/>
        </w:rPr>
        <w:t>conta</w:t>
      </w:r>
      <w:r>
        <w:rPr>
          <w:color w:val="000009"/>
          <w:spacing w:val="-1"/>
        </w:rPr>
        <w:t xml:space="preserve"> </w:t>
      </w:r>
      <w:r>
        <w:rPr>
          <w:color w:val="000009"/>
        </w:rPr>
        <w:t>corrente</w:t>
      </w:r>
      <w:r>
        <w:rPr>
          <w:color w:val="000009"/>
          <w:spacing w:val="-2"/>
        </w:rPr>
        <w:t xml:space="preserve"> </w:t>
      </w:r>
      <w:r>
        <w:rPr>
          <w:color w:val="000009"/>
        </w:rPr>
        <w:t>em</w:t>
      </w:r>
      <w:r>
        <w:rPr>
          <w:color w:val="000009"/>
          <w:spacing w:val="-2"/>
        </w:rPr>
        <w:t xml:space="preserve"> </w:t>
      </w:r>
      <w:r>
        <w:rPr>
          <w:color w:val="000009"/>
        </w:rPr>
        <w:t>que</w:t>
      </w:r>
      <w:r>
        <w:rPr>
          <w:color w:val="000009"/>
          <w:spacing w:val="-2"/>
        </w:rPr>
        <w:t xml:space="preserve"> </w:t>
      </w:r>
      <w:r>
        <w:rPr>
          <w:color w:val="000009"/>
        </w:rPr>
        <w:t>deverá</w:t>
      </w:r>
      <w:r>
        <w:rPr>
          <w:color w:val="000009"/>
          <w:spacing w:val="-4"/>
        </w:rPr>
        <w:t xml:space="preserve"> </w:t>
      </w:r>
      <w:r>
        <w:rPr>
          <w:color w:val="000009"/>
        </w:rPr>
        <w:t>ser</w:t>
      </w:r>
      <w:r>
        <w:rPr>
          <w:color w:val="000009"/>
          <w:spacing w:val="-3"/>
        </w:rPr>
        <w:t xml:space="preserve"> </w:t>
      </w:r>
      <w:r>
        <w:rPr>
          <w:color w:val="000009"/>
        </w:rPr>
        <w:t>efetivado</w:t>
      </w:r>
      <w:r>
        <w:rPr>
          <w:color w:val="000009"/>
          <w:spacing w:val="-3"/>
        </w:rPr>
        <w:t xml:space="preserve"> </w:t>
      </w:r>
      <w:r>
        <w:rPr>
          <w:color w:val="000009"/>
        </w:rPr>
        <w:t>o</w:t>
      </w:r>
      <w:r>
        <w:rPr>
          <w:color w:val="000009"/>
          <w:spacing w:val="-1"/>
        </w:rPr>
        <w:t xml:space="preserve"> </w:t>
      </w:r>
      <w:r>
        <w:rPr>
          <w:color w:val="000009"/>
        </w:rPr>
        <w:t>crédito.</w:t>
      </w:r>
    </w:p>
    <w:p>
      <w:pPr>
        <w:pStyle w:val="ListParagraph"/>
        <w:widowControl w:val="false"/>
        <w:numPr>
          <w:ilvl w:val="1"/>
          <w:numId w:val="2"/>
        </w:numPr>
        <w:tabs>
          <w:tab w:val="clear" w:pos="708"/>
          <w:tab w:val="left" w:pos="856" w:leader="none"/>
        </w:tabs>
        <w:spacing w:lineRule="auto" w:line="271" w:before="126" w:after="0"/>
        <w:ind w:left="135" w:right="803" w:hanging="0"/>
        <w:contextualSpacing w:val="false"/>
        <w:jc w:val="both"/>
        <w:rPr/>
      </w:pPr>
      <w:r>
        <w:rPr>
          <w:color w:val="000009"/>
        </w:rPr>
        <w:t xml:space="preserve">      </w:t>
      </w:r>
      <w:r>
        <w:rPr>
          <w:color w:val="000009"/>
        </w:rPr>
        <w:t>As</w:t>
      </w:r>
      <w:r>
        <w:rPr>
          <w:color w:val="000009"/>
          <w:spacing w:val="-5"/>
        </w:rPr>
        <w:t xml:space="preserve"> </w:t>
      </w:r>
      <w:r>
        <w:rPr>
          <w:color w:val="000009"/>
        </w:rPr>
        <w:t>microempresas</w:t>
      </w:r>
      <w:r>
        <w:rPr>
          <w:color w:val="000009"/>
          <w:spacing w:val="-4"/>
        </w:rPr>
        <w:t xml:space="preserve"> </w:t>
      </w:r>
      <w:r>
        <w:rPr>
          <w:color w:val="000009"/>
        </w:rPr>
        <w:t>e</w:t>
      </w:r>
      <w:r>
        <w:rPr>
          <w:color w:val="000009"/>
          <w:spacing w:val="-4"/>
        </w:rPr>
        <w:t xml:space="preserve"> </w:t>
      </w:r>
      <w:r>
        <w:rPr>
          <w:color w:val="000009"/>
        </w:rPr>
        <w:t>empresas</w:t>
      </w:r>
      <w:r>
        <w:rPr>
          <w:color w:val="000009"/>
          <w:spacing w:val="-4"/>
        </w:rPr>
        <w:t xml:space="preserve"> </w:t>
      </w:r>
      <w:r>
        <w:rPr>
          <w:color w:val="000009"/>
        </w:rPr>
        <w:t>de</w:t>
      </w:r>
      <w:r>
        <w:rPr>
          <w:color w:val="000009"/>
          <w:spacing w:val="-4"/>
        </w:rPr>
        <w:t xml:space="preserve"> </w:t>
      </w:r>
      <w:r>
        <w:rPr>
          <w:color w:val="000009"/>
        </w:rPr>
        <w:t>pequeno</w:t>
      </w:r>
      <w:r>
        <w:rPr>
          <w:color w:val="000009"/>
          <w:spacing w:val="-4"/>
        </w:rPr>
        <w:t xml:space="preserve"> </w:t>
      </w:r>
      <w:r>
        <w:rPr>
          <w:color w:val="000009"/>
        </w:rPr>
        <w:t>porte,</w:t>
      </w:r>
      <w:r>
        <w:rPr>
          <w:color w:val="000009"/>
          <w:spacing w:val="-4"/>
        </w:rPr>
        <w:t xml:space="preserve"> </w:t>
      </w:r>
      <w:r>
        <w:rPr>
          <w:color w:val="000009"/>
        </w:rPr>
        <w:t>enquadradas</w:t>
      </w:r>
      <w:r>
        <w:rPr>
          <w:color w:val="000009"/>
          <w:spacing w:val="-5"/>
        </w:rPr>
        <w:t xml:space="preserve"> </w:t>
      </w:r>
      <w:r>
        <w:rPr>
          <w:color w:val="000009"/>
        </w:rPr>
        <w:t>ou</w:t>
      </w:r>
      <w:r>
        <w:rPr>
          <w:color w:val="000009"/>
          <w:spacing w:val="-3"/>
        </w:rPr>
        <w:t xml:space="preserve"> </w:t>
      </w:r>
      <w:r>
        <w:rPr>
          <w:color w:val="000009"/>
        </w:rPr>
        <w:t>não</w:t>
      </w:r>
      <w:r>
        <w:rPr>
          <w:color w:val="000009"/>
          <w:spacing w:val="-4"/>
        </w:rPr>
        <w:t xml:space="preserve"> </w:t>
      </w:r>
      <w:r>
        <w:rPr>
          <w:color w:val="000009"/>
        </w:rPr>
        <w:t>no</w:t>
      </w:r>
      <w:r>
        <w:rPr>
          <w:color w:val="000009"/>
          <w:spacing w:val="-4"/>
        </w:rPr>
        <w:t xml:space="preserve"> </w:t>
      </w:r>
      <w:r>
        <w:rPr>
          <w:color w:val="000009"/>
        </w:rPr>
        <w:t>regime</w:t>
      </w:r>
      <w:r>
        <w:rPr>
          <w:color w:val="000009"/>
          <w:spacing w:val="-4"/>
        </w:rPr>
        <w:t xml:space="preserve"> </w:t>
      </w:r>
      <w:r>
        <w:rPr>
          <w:color w:val="000009"/>
        </w:rPr>
        <w:t>tributário</w:t>
      </w:r>
      <w:r>
        <w:rPr>
          <w:color w:val="000009"/>
          <w:spacing w:val="-4"/>
        </w:rPr>
        <w:t xml:space="preserve"> </w:t>
      </w:r>
      <w:r>
        <w:rPr>
          <w:color w:val="000009"/>
        </w:rPr>
        <w:t>do</w:t>
      </w:r>
      <w:r>
        <w:rPr>
          <w:color w:val="000009"/>
          <w:spacing w:val="-5"/>
        </w:rPr>
        <w:t xml:space="preserve"> </w:t>
      </w:r>
      <w:r>
        <w:rPr>
          <w:color w:val="000009"/>
        </w:rPr>
        <w:t>Simples</w:t>
      </w:r>
      <w:r>
        <w:rPr>
          <w:color w:val="000009"/>
          <w:spacing w:val="-43"/>
        </w:rPr>
        <w:t xml:space="preserve"> </w:t>
      </w:r>
      <w:r>
        <w:rPr>
          <w:color w:val="000009"/>
        </w:rPr>
        <w:t>Nacional,</w:t>
      </w:r>
      <w:r>
        <w:rPr>
          <w:color w:val="000009"/>
          <w:spacing w:val="-6"/>
        </w:rPr>
        <w:t xml:space="preserve"> </w:t>
      </w:r>
      <w:r>
        <w:rPr>
          <w:color w:val="000009"/>
        </w:rPr>
        <w:t>receberão</w:t>
      </w:r>
      <w:r>
        <w:rPr>
          <w:color w:val="000009"/>
          <w:spacing w:val="-5"/>
        </w:rPr>
        <w:t xml:space="preserve"> </w:t>
      </w:r>
      <w:r>
        <w:rPr>
          <w:color w:val="000009"/>
        </w:rPr>
        <w:t>tratamento</w:t>
      </w:r>
      <w:r>
        <w:rPr>
          <w:color w:val="000009"/>
          <w:spacing w:val="-5"/>
        </w:rPr>
        <w:t xml:space="preserve"> </w:t>
      </w:r>
      <w:r>
        <w:rPr>
          <w:color w:val="000009"/>
        </w:rPr>
        <w:t>jurídico</w:t>
      </w:r>
      <w:r>
        <w:rPr>
          <w:color w:val="000009"/>
          <w:spacing w:val="-5"/>
        </w:rPr>
        <w:t xml:space="preserve"> </w:t>
      </w:r>
      <w:r>
        <w:rPr>
          <w:color w:val="000009"/>
        </w:rPr>
        <w:t>diferenciado</w:t>
      </w:r>
      <w:r>
        <w:rPr>
          <w:color w:val="000009"/>
          <w:spacing w:val="-5"/>
        </w:rPr>
        <w:t xml:space="preserve"> </w:t>
      </w:r>
      <w:r>
        <w:rPr>
          <w:color w:val="000009"/>
        </w:rPr>
        <w:t>previsto</w:t>
      </w:r>
      <w:r>
        <w:rPr>
          <w:color w:val="000009"/>
          <w:spacing w:val="-5"/>
        </w:rPr>
        <w:t xml:space="preserve"> </w:t>
      </w:r>
      <w:r>
        <w:rPr>
          <w:color w:val="000009"/>
        </w:rPr>
        <w:t>na</w:t>
      </w:r>
      <w:r>
        <w:rPr>
          <w:color w:val="000009"/>
          <w:spacing w:val="-5"/>
        </w:rPr>
        <w:t xml:space="preserve"> </w:t>
      </w:r>
      <w:r>
        <w:rPr>
          <w:color w:val="000009"/>
        </w:rPr>
        <w:t>Lei</w:t>
      </w:r>
      <w:r>
        <w:rPr>
          <w:color w:val="000009"/>
          <w:spacing w:val="-7"/>
        </w:rPr>
        <w:t xml:space="preserve"> </w:t>
      </w:r>
      <w:r>
        <w:rPr>
          <w:color w:val="000009"/>
        </w:rPr>
        <w:t>Complementar</w:t>
      </w:r>
      <w:r>
        <w:rPr>
          <w:color w:val="000009"/>
          <w:spacing w:val="-6"/>
        </w:rPr>
        <w:t xml:space="preserve"> </w:t>
      </w:r>
      <w:r>
        <w:rPr>
          <w:color w:val="000009"/>
        </w:rPr>
        <w:t>nº</w:t>
      </w:r>
      <w:r>
        <w:rPr>
          <w:color w:val="000009"/>
          <w:spacing w:val="-5"/>
        </w:rPr>
        <w:t xml:space="preserve"> </w:t>
      </w:r>
      <w:r>
        <w:rPr>
          <w:color w:val="000009"/>
        </w:rPr>
        <w:t>123,</w:t>
      </w:r>
      <w:r>
        <w:rPr>
          <w:color w:val="000009"/>
          <w:spacing w:val="-5"/>
        </w:rPr>
        <w:t xml:space="preserve"> </w:t>
      </w:r>
      <w:r>
        <w:rPr>
          <w:color w:val="000009"/>
        </w:rPr>
        <w:t>de</w:t>
      </w:r>
      <w:r>
        <w:rPr>
          <w:color w:val="000009"/>
          <w:spacing w:val="-7"/>
        </w:rPr>
        <w:t xml:space="preserve"> </w:t>
      </w:r>
      <w:r>
        <w:rPr>
          <w:color w:val="000009"/>
        </w:rPr>
        <w:t>14</w:t>
      </w:r>
      <w:r>
        <w:rPr>
          <w:color w:val="000009"/>
          <w:spacing w:val="-4"/>
        </w:rPr>
        <w:t xml:space="preserve"> </w:t>
      </w:r>
      <w:r>
        <w:rPr>
          <w:color w:val="000009"/>
        </w:rPr>
        <w:t>de</w:t>
      </w:r>
      <w:r>
        <w:rPr>
          <w:color w:val="000009"/>
          <w:spacing w:val="-5"/>
        </w:rPr>
        <w:t xml:space="preserve"> </w:t>
      </w:r>
      <w:r>
        <w:rPr>
          <w:color w:val="000009"/>
        </w:rPr>
        <w:t>Dezembro</w:t>
      </w:r>
      <w:r>
        <w:rPr>
          <w:color w:val="000009"/>
          <w:spacing w:val="1"/>
        </w:rPr>
        <w:t xml:space="preserve"> </w:t>
      </w:r>
      <w:r>
        <w:rPr>
          <w:color w:val="000009"/>
        </w:rPr>
        <w:t>de</w:t>
      </w:r>
      <w:r>
        <w:rPr>
          <w:color w:val="000009"/>
          <w:spacing w:val="-3"/>
        </w:rPr>
        <w:t xml:space="preserve"> </w:t>
      </w:r>
      <w:r>
        <w:rPr>
          <w:color w:val="000009"/>
        </w:rPr>
        <w:t>2006</w:t>
      </w:r>
      <w:r>
        <w:rPr>
          <w:color w:val="000009"/>
          <w:spacing w:val="-2"/>
        </w:rPr>
        <w:t xml:space="preserve"> </w:t>
      </w:r>
      <w:r>
        <w:rPr>
          <w:color w:val="000009"/>
        </w:rPr>
        <w:t>e</w:t>
      </w:r>
      <w:r>
        <w:rPr>
          <w:color w:val="000009"/>
          <w:spacing w:val="-1"/>
        </w:rPr>
        <w:t xml:space="preserve"> </w:t>
      </w:r>
      <w:r>
        <w:rPr>
          <w:color w:val="000009"/>
        </w:rPr>
        <w:t>Instrução</w:t>
      </w:r>
      <w:r>
        <w:rPr>
          <w:color w:val="000009"/>
          <w:spacing w:val="-1"/>
        </w:rPr>
        <w:t xml:space="preserve"> </w:t>
      </w:r>
      <w:r>
        <w:rPr>
          <w:color w:val="000009"/>
        </w:rPr>
        <w:t>Normativa</w:t>
      </w:r>
      <w:r>
        <w:rPr>
          <w:color w:val="000009"/>
          <w:spacing w:val="-2"/>
        </w:rPr>
        <w:t xml:space="preserve"> </w:t>
      </w:r>
      <w:r>
        <w:rPr>
          <w:color w:val="000009"/>
        </w:rPr>
        <w:t>da</w:t>
      </w:r>
      <w:r>
        <w:rPr>
          <w:color w:val="000009"/>
          <w:spacing w:val="-1"/>
        </w:rPr>
        <w:t xml:space="preserve"> </w:t>
      </w:r>
      <w:r>
        <w:rPr>
          <w:color w:val="000009"/>
        </w:rPr>
        <w:t>Secretaria</w:t>
      </w:r>
      <w:r>
        <w:rPr>
          <w:color w:val="000009"/>
          <w:spacing w:val="-1"/>
        </w:rPr>
        <w:t xml:space="preserve"> </w:t>
      </w:r>
      <w:r>
        <w:rPr>
          <w:color w:val="000009"/>
        </w:rPr>
        <w:t>da</w:t>
      </w:r>
      <w:r>
        <w:rPr>
          <w:color w:val="000009"/>
          <w:spacing w:val="-1"/>
        </w:rPr>
        <w:t xml:space="preserve"> </w:t>
      </w:r>
      <w:r>
        <w:rPr>
          <w:color w:val="000009"/>
        </w:rPr>
        <w:t>Receita</w:t>
      </w:r>
      <w:r>
        <w:rPr>
          <w:color w:val="000009"/>
          <w:spacing w:val="-1"/>
        </w:rPr>
        <w:t xml:space="preserve"> </w:t>
      </w:r>
      <w:r>
        <w:rPr>
          <w:color w:val="000009"/>
        </w:rPr>
        <w:t>Federal</w:t>
      </w:r>
      <w:r>
        <w:rPr>
          <w:color w:val="000009"/>
          <w:spacing w:val="-4"/>
        </w:rPr>
        <w:t xml:space="preserve"> </w:t>
      </w:r>
      <w:r>
        <w:rPr>
          <w:color w:val="000009"/>
        </w:rPr>
        <w:t>no</w:t>
      </w:r>
      <w:r>
        <w:rPr>
          <w:color w:val="000009"/>
          <w:spacing w:val="-2"/>
        </w:rPr>
        <w:t xml:space="preserve"> </w:t>
      </w:r>
      <w:r>
        <w:rPr>
          <w:color w:val="000009"/>
        </w:rPr>
        <w:t>1.234,</w:t>
      </w:r>
      <w:r>
        <w:rPr>
          <w:color w:val="000009"/>
          <w:spacing w:val="-3"/>
        </w:rPr>
        <w:t xml:space="preserve"> </w:t>
      </w:r>
      <w:r>
        <w:rPr>
          <w:color w:val="000009"/>
        </w:rPr>
        <w:t>de</w:t>
      </w:r>
      <w:r>
        <w:rPr>
          <w:color w:val="000009"/>
          <w:spacing w:val="-2"/>
        </w:rPr>
        <w:t xml:space="preserve"> </w:t>
      </w:r>
      <w:r>
        <w:rPr>
          <w:color w:val="000009"/>
        </w:rPr>
        <w:t>11/01/2012.</w:t>
      </w:r>
    </w:p>
    <w:p>
      <w:pPr>
        <w:pStyle w:val="ListParagraph"/>
        <w:widowControl w:val="false"/>
        <w:numPr>
          <w:ilvl w:val="1"/>
          <w:numId w:val="2"/>
        </w:numPr>
        <w:tabs>
          <w:tab w:val="clear" w:pos="708"/>
          <w:tab w:val="left" w:pos="856" w:leader="none"/>
        </w:tabs>
        <w:spacing w:lineRule="auto" w:line="271" w:before="119" w:after="0"/>
        <w:ind w:left="135" w:right="803" w:hanging="0"/>
        <w:contextualSpacing w:val="false"/>
        <w:jc w:val="both"/>
        <w:rPr/>
      </w:pPr>
      <w:r>
        <w:rPr/>
        <w:t xml:space="preserve">     </w:t>
      </w:r>
      <w:r>
        <w:rPr/>
        <w:t>Nos</w:t>
      </w:r>
      <w:r>
        <w:rPr>
          <w:spacing w:val="-4"/>
        </w:rPr>
        <w:t xml:space="preserve"> </w:t>
      </w:r>
      <w:r>
        <w:rPr/>
        <w:t>termos</w:t>
      </w:r>
      <w:r>
        <w:rPr>
          <w:spacing w:val="-3"/>
        </w:rPr>
        <w:t xml:space="preserve"> </w:t>
      </w:r>
      <w:r>
        <w:rPr/>
        <w:t>do</w:t>
      </w:r>
      <w:r>
        <w:rPr>
          <w:spacing w:val="-4"/>
        </w:rPr>
        <w:t xml:space="preserve"> </w:t>
      </w:r>
      <w:r>
        <w:rPr/>
        <w:t>item</w:t>
      </w:r>
      <w:r>
        <w:rPr>
          <w:spacing w:val="-4"/>
        </w:rPr>
        <w:t xml:space="preserve"> </w:t>
      </w:r>
      <w:r>
        <w:rPr/>
        <w:t>1,</w:t>
      </w:r>
      <w:r>
        <w:rPr>
          <w:spacing w:val="-4"/>
        </w:rPr>
        <w:t xml:space="preserve"> </w:t>
      </w:r>
      <w:r>
        <w:rPr/>
        <w:t>do</w:t>
      </w:r>
      <w:r>
        <w:rPr>
          <w:spacing w:val="-4"/>
        </w:rPr>
        <w:t xml:space="preserve"> </w:t>
      </w:r>
      <w:r>
        <w:rPr/>
        <w:t>Anexo</w:t>
      </w:r>
      <w:r>
        <w:rPr>
          <w:spacing w:val="-4"/>
        </w:rPr>
        <w:t xml:space="preserve"> </w:t>
      </w:r>
      <w:r>
        <w:rPr/>
        <w:t>VIII-A</w:t>
      </w:r>
      <w:r>
        <w:rPr>
          <w:spacing w:val="-4"/>
        </w:rPr>
        <w:t xml:space="preserve"> </w:t>
      </w:r>
      <w:r>
        <w:rPr/>
        <w:t>da</w:t>
      </w:r>
      <w:r>
        <w:rPr>
          <w:spacing w:val="-4"/>
        </w:rPr>
        <w:t xml:space="preserve"> </w:t>
      </w:r>
      <w:r>
        <w:rPr/>
        <w:t>Instrução</w:t>
      </w:r>
      <w:r>
        <w:rPr>
          <w:spacing w:val="-4"/>
        </w:rPr>
        <w:t xml:space="preserve"> </w:t>
      </w:r>
      <w:r>
        <w:rPr/>
        <w:t>Normativa</w:t>
      </w:r>
      <w:r>
        <w:rPr>
          <w:spacing w:val="-4"/>
        </w:rPr>
        <w:t xml:space="preserve"> </w:t>
      </w:r>
      <w:r>
        <w:rPr/>
        <w:t>SEGES/MP</w:t>
      </w:r>
      <w:r>
        <w:rPr>
          <w:spacing w:val="-3"/>
        </w:rPr>
        <w:t xml:space="preserve"> </w:t>
      </w:r>
      <w:r>
        <w:rPr/>
        <w:t>nº</w:t>
      </w:r>
      <w:r>
        <w:rPr>
          <w:spacing w:val="-4"/>
        </w:rPr>
        <w:t xml:space="preserve"> </w:t>
      </w:r>
      <w:r>
        <w:rPr/>
        <w:t>05,</w:t>
      </w:r>
      <w:r>
        <w:rPr>
          <w:spacing w:val="-4"/>
        </w:rPr>
        <w:t xml:space="preserve"> </w:t>
      </w:r>
      <w:r>
        <w:rPr/>
        <w:t>de</w:t>
      </w:r>
      <w:r>
        <w:rPr>
          <w:spacing w:val="-4"/>
        </w:rPr>
        <w:t xml:space="preserve"> </w:t>
      </w:r>
      <w:r>
        <w:rPr/>
        <w:t>2017,</w:t>
      </w:r>
      <w:r>
        <w:rPr>
          <w:spacing w:val="-4"/>
        </w:rPr>
        <w:t xml:space="preserve"> </w:t>
      </w:r>
      <w:r>
        <w:rPr/>
        <w:t>será</w:t>
      </w:r>
      <w:r>
        <w:rPr>
          <w:spacing w:val="-4"/>
        </w:rPr>
        <w:t xml:space="preserve"> </w:t>
      </w:r>
      <w:r>
        <w:rPr/>
        <w:t>indicada</w:t>
      </w:r>
      <w:r>
        <w:rPr>
          <w:spacing w:val="-42"/>
        </w:rPr>
        <w:t xml:space="preserve"> </w:t>
      </w:r>
      <w:r>
        <w:rPr/>
        <w:t>a retenção ou glosa no pagamento, proporcional à irregularidade verificada, sem prejuízo das sanções cabíveis,</w:t>
      </w:r>
      <w:r>
        <w:rPr>
          <w:spacing w:val="-43"/>
        </w:rPr>
        <w:t xml:space="preserve"> </w:t>
      </w:r>
      <w:r>
        <w:rPr/>
        <w:t>caso</w:t>
      </w:r>
      <w:r>
        <w:rPr>
          <w:spacing w:val="-1"/>
        </w:rPr>
        <w:t xml:space="preserve"> </w:t>
      </w:r>
      <w:r>
        <w:rPr/>
        <w:t>se</w:t>
      </w:r>
      <w:r>
        <w:rPr>
          <w:spacing w:val="-1"/>
        </w:rPr>
        <w:t xml:space="preserve"> </w:t>
      </w:r>
      <w:r>
        <w:rPr/>
        <w:t>constate</w:t>
      </w:r>
      <w:r>
        <w:rPr>
          <w:spacing w:val="-1"/>
        </w:rPr>
        <w:t xml:space="preserve"> </w:t>
      </w:r>
      <w:r>
        <w:rPr/>
        <w:t>que</w:t>
      </w:r>
      <w:r>
        <w:rPr>
          <w:spacing w:val="-1"/>
        </w:rPr>
        <w:t xml:space="preserve"> </w:t>
      </w:r>
      <w:r>
        <w:rPr/>
        <w:t>a</w:t>
      </w:r>
      <w:r>
        <w:rPr>
          <w:spacing w:val="-1"/>
        </w:rPr>
        <w:t xml:space="preserve"> </w:t>
      </w:r>
      <w:r>
        <w:rPr/>
        <w:t>Contratada:</w:t>
      </w:r>
    </w:p>
    <w:p>
      <w:pPr>
        <w:pStyle w:val="ListParagraph"/>
        <w:widowControl w:val="false"/>
        <w:numPr>
          <w:ilvl w:val="2"/>
          <w:numId w:val="2"/>
        </w:numPr>
        <w:tabs>
          <w:tab w:val="clear" w:pos="708"/>
          <w:tab w:val="left" w:pos="856" w:leader="none"/>
        </w:tabs>
        <w:spacing w:before="125" w:after="0"/>
        <w:ind w:left="1781" w:right="0" w:hanging="721"/>
        <w:contextualSpacing w:val="false"/>
        <w:jc w:val="both"/>
        <w:rPr/>
      </w:pPr>
      <w:r>
        <w:rPr/>
        <w:t>não</w:t>
      </w:r>
      <w:r>
        <w:rPr>
          <w:spacing w:val="-6"/>
        </w:rPr>
        <w:t xml:space="preserve"> </w:t>
      </w:r>
      <w:r>
        <w:rPr/>
        <w:t>produziu</w:t>
      </w:r>
      <w:r>
        <w:rPr>
          <w:spacing w:val="-5"/>
        </w:rPr>
        <w:t xml:space="preserve"> </w:t>
      </w:r>
      <w:r>
        <w:rPr/>
        <w:t>os</w:t>
      </w:r>
      <w:r>
        <w:rPr>
          <w:spacing w:val="-8"/>
        </w:rPr>
        <w:t xml:space="preserve"> </w:t>
      </w:r>
      <w:r>
        <w:rPr/>
        <w:t>resultados</w:t>
      </w:r>
      <w:r>
        <w:rPr>
          <w:spacing w:val="-7"/>
        </w:rPr>
        <w:t xml:space="preserve"> </w:t>
      </w:r>
      <w:r>
        <w:rPr/>
        <w:t>acordados;</w:t>
      </w:r>
    </w:p>
    <w:p>
      <w:pPr>
        <w:pStyle w:val="ListParagraph"/>
        <w:widowControl w:val="false"/>
        <w:numPr>
          <w:ilvl w:val="2"/>
          <w:numId w:val="2"/>
        </w:numPr>
        <w:tabs>
          <w:tab w:val="clear" w:pos="708"/>
          <w:tab w:val="left" w:pos="856" w:leader="none"/>
        </w:tabs>
        <w:spacing w:before="0" w:after="0"/>
        <w:ind w:left="1781" w:right="0" w:hanging="721"/>
        <w:contextualSpacing w:val="false"/>
        <w:jc w:val="both"/>
        <w:rPr/>
      </w:pPr>
      <w:r>
        <w:rPr/>
        <w:t>deixou</w:t>
      </w:r>
      <w:r>
        <w:rPr>
          <w:spacing w:val="-5"/>
        </w:rPr>
        <w:t xml:space="preserve"> </w:t>
      </w:r>
      <w:r>
        <w:rPr/>
        <w:t>de</w:t>
      </w:r>
      <w:r>
        <w:rPr>
          <w:spacing w:val="-6"/>
        </w:rPr>
        <w:t xml:space="preserve"> </w:t>
      </w:r>
      <w:r>
        <w:rPr/>
        <w:t>executar</w:t>
      </w:r>
      <w:r>
        <w:rPr>
          <w:spacing w:val="-5"/>
        </w:rPr>
        <w:t xml:space="preserve"> </w:t>
      </w:r>
      <w:r>
        <w:rPr/>
        <w:t>as</w:t>
      </w:r>
      <w:r>
        <w:rPr>
          <w:spacing w:val="-7"/>
        </w:rPr>
        <w:t xml:space="preserve"> </w:t>
      </w:r>
      <w:r>
        <w:rPr/>
        <w:t>atividades</w:t>
      </w:r>
      <w:r>
        <w:rPr>
          <w:spacing w:val="-8"/>
        </w:rPr>
        <w:t xml:space="preserve"> </w:t>
      </w:r>
      <w:r>
        <w:rPr/>
        <w:t>contratadas,</w:t>
      </w:r>
      <w:r>
        <w:rPr>
          <w:spacing w:val="-7"/>
        </w:rPr>
        <w:t xml:space="preserve"> </w:t>
      </w:r>
      <w:r>
        <w:rPr/>
        <w:t>ou</w:t>
      </w:r>
      <w:r>
        <w:rPr>
          <w:spacing w:val="-6"/>
        </w:rPr>
        <w:t xml:space="preserve"> </w:t>
      </w:r>
      <w:r>
        <w:rPr/>
        <w:t>não</w:t>
      </w:r>
      <w:r>
        <w:rPr>
          <w:spacing w:val="-6"/>
        </w:rPr>
        <w:t xml:space="preserve"> </w:t>
      </w:r>
      <w:r>
        <w:rPr/>
        <w:t>as</w:t>
      </w:r>
      <w:r>
        <w:rPr>
          <w:spacing w:val="-5"/>
        </w:rPr>
        <w:t xml:space="preserve"> </w:t>
      </w:r>
      <w:r>
        <w:rPr/>
        <w:t>executou</w:t>
      </w:r>
      <w:r>
        <w:rPr>
          <w:spacing w:val="-7"/>
        </w:rPr>
        <w:t xml:space="preserve"> </w:t>
      </w:r>
      <w:r>
        <w:rPr/>
        <w:t>com</w:t>
      </w:r>
      <w:r>
        <w:rPr>
          <w:spacing w:val="-5"/>
        </w:rPr>
        <w:t xml:space="preserve"> </w:t>
      </w:r>
      <w:r>
        <w:rPr/>
        <w:t>a</w:t>
      </w:r>
      <w:r>
        <w:rPr>
          <w:spacing w:val="-8"/>
        </w:rPr>
        <w:t xml:space="preserve"> </w:t>
      </w:r>
      <w:r>
        <w:rPr/>
        <w:t>qualidade</w:t>
      </w:r>
      <w:r>
        <w:rPr>
          <w:spacing w:val="-6"/>
        </w:rPr>
        <w:t xml:space="preserve"> </w:t>
      </w:r>
      <w:r>
        <w:rPr/>
        <w:t>mínima</w:t>
      </w:r>
      <w:r>
        <w:rPr>
          <w:spacing w:val="-7"/>
        </w:rPr>
        <w:t xml:space="preserve"> </w:t>
      </w:r>
      <w:r>
        <w:rPr/>
        <w:t>exigida;</w:t>
      </w:r>
    </w:p>
    <w:p>
      <w:pPr>
        <w:pStyle w:val="Nivel1"/>
        <w:spacing w:lineRule="auto" w:line="240" w:before="0" w:after="0"/>
        <w:ind w:left="284" w:right="0" w:hanging="0"/>
        <w:rPr/>
      </w:pPr>
      <w:r>
        <w:rPr>
          <w:b w:val="false"/>
        </w:rPr>
        <w:t xml:space="preserve">             </w:t>
      </w:r>
      <w:r>
        <w:rPr>
          <w:b w:val="false"/>
        </w:rPr>
        <w:t>16.13.3.   deixou de utilizar os materiais e recursos humanos exigidos para a execução do serviço, ou utilizou-os</w:t>
      </w:r>
      <w:r>
        <w:rPr>
          <w:b w:val="false"/>
          <w:spacing w:val="1"/>
        </w:rPr>
        <w:t xml:space="preserve"> </w:t>
      </w:r>
      <w:r>
        <w:rPr>
          <w:b w:val="false"/>
        </w:rPr>
        <w:t>com</w:t>
      </w:r>
      <w:r>
        <w:rPr>
          <w:b w:val="false"/>
          <w:spacing w:val="-1"/>
        </w:rPr>
        <w:t xml:space="preserve"> </w:t>
      </w:r>
      <w:r>
        <w:rPr>
          <w:b w:val="false"/>
        </w:rPr>
        <w:t>qualidade ou</w:t>
      </w:r>
      <w:r>
        <w:rPr>
          <w:b w:val="false"/>
          <w:spacing w:val="1"/>
        </w:rPr>
        <w:t xml:space="preserve"> </w:t>
      </w:r>
      <w:r>
        <w:rPr>
          <w:b w:val="false"/>
        </w:rPr>
        <w:t>quantidade</w:t>
      </w:r>
      <w:r>
        <w:rPr>
          <w:b w:val="false"/>
          <w:spacing w:val="-1"/>
        </w:rPr>
        <w:t xml:space="preserve"> </w:t>
      </w:r>
      <w:r>
        <w:rPr>
          <w:b w:val="false"/>
        </w:rPr>
        <w:t>inferior</w:t>
      </w:r>
      <w:r>
        <w:rPr>
          <w:b w:val="false"/>
          <w:spacing w:val="-2"/>
        </w:rPr>
        <w:t xml:space="preserve"> </w:t>
      </w:r>
      <w:r>
        <w:rPr>
          <w:b w:val="false"/>
        </w:rPr>
        <w:t>à demandada.</w:t>
      </w:r>
    </w:p>
    <w:p>
      <w:pPr>
        <w:pStyle w:val="Nivel1"/>
        <w:numPr>
          <w:ilvl w:val="0"/>
          <w:numId w:val="2"/>
        </w:numPr>
        <w:rPr>
          <w:rFonts w:cs="Arial"/>
          <w:color w:val="auto"/>
        </w:rPr>
      </w:pPr>
      <w:r>
        <w:rPr>
          <w:rFonts w:cs="Arial"/>
          <w:color w:val="auto"/>
        </w:rPr>
        <w:t>DO RECEBIMENTO E ACEITAÇÃO DO OBJETO</w:t>
      </w:r>
    </w:p>
    <w:p>
      <w:pPr>
        <w:pStyle w:val="Normal"/>
        <w:numPr>
          <w:ilvl w:val="1"/>
          <w:numId w:val="2"/>
        </w:numPr>
        <w:spacing w:lineRule="auto" w:line="276" w:before="120" w:after="120"/>
        <w:ind w:left="425" w:right="0" w:hanging="0"/>
        <w:jc w:val="both"/>
        <w:rPr>
          <w:rFonts w:cs="Arial"/>
          <w:iCs/>
          <w:szCs w:val="20"/>
        </w:rPr>
      </w:pPr>
      <w:r>
        <w:rPr>
          <w:rFonts w:cs="Arial"/>
          <w:iCs/>
          <w:szCs w:val="20"/>
        </w:rPr>
        <w:t xml:space="preserve">A emissão da Nota Fiscal/Fatura deve ser precedida do recebimento definitivo dos serviços, nos termos abaixo. </w:t>
      </w:r>
    </w:p>
    <w:p>
      <w:pPr>
        <w:pStyle w:val="Normal"/>
        <w:numPr>
          <w:ilvl w:val="1"/>
          <w:numId w:val="2"/>
        </w:numPr>
        <w:spacing w:lineRule="auto" w:line="276" w:before="120" w:after="120"/>
        <w:ind w:left="425" w:right="0" w:hanging="0"/>
        <w:jc w:val="both"/>
        <w:rPr/>
      </w:pPr>
      <w:r>
        <w:rPr>
          <w:rFonts w:cs="Arial"/>
          <w:iCs/>
          <w:szCs w:val="20"/>
        </w:rPr>
        <w:t>No</w:t>
      </w:r>
      <w:r>
        <w:rPr>
          <w:rFonts w:cs="Arial"/>
          <w:color w:val="000000"/>
          <w:szCs w:val="20"/>
          <w:lang w:eastAsia="en-US"/>
        </w:rPr>
        <w:t xml:space="preserve"> prazo </w:t>
      </w:r>
      <w:r>
        <w:rPr>
          <w:rFonts w:cs="Arial"/>
          <w:szCs w:val="20"/>
          <w:lang w:eastAsia="en-US"/>
        </w:rPr>
        <w:t xml:space="preserve">de até 5 dias corridos do adimplemento </w:t>
      </w:r>
      <w:r>
        <w:rPr>
          <w:rFonts w:cs="Arial"/>
          <w:color w:val="000000"/>
          <w:szCs w:val="20"/>
          <w:lang w:eastAsia="en-US"/>
        </w:rPr>
        <w:t xml:space="preserve">da parcela, a CONTRATADA deverá entregar toda a documentação comprobatória do cumprimento da obrigação contratual;  </w:t>
      </w:r>
    </w:p>
    <w:p>
      <w:pPr>
        <w:pStyle w:val="Normal"/>
        <w:numPr>
          <w:ilvl w:val="1"/>
          <w:numId w:val="2"/>
        </w:numPr>
        <w:spacing w:lineRule="auto" w:line="276" w:before="120" w:after="120"/>
        <w:ind w:left="425" w:right="0" w:hanging="0"/>
        <w:jc w:val="both"/>
        <w:rPr>
          <w:rFonts w:cs="Arial"/>
          <w:szCs w:val="20"/>
        </w:rPr>
      </w:pPr>
      <w:r>
        <w:rPr>
          <w:rFonts w:cs="Arial"/>
          <w:szCs w:val="20"/>
        </w:rPr>
        <w:t>O recebimento provisório será realizado pelo fiscal técnico e setorial ou pela equipe de fiscalização após a entrega da documentação acima, da seguinte forma:</w:t>
      </w:r>
    </w:p>
    <w:p>
      <w:pPr>
        <w:pStyle w:val="Normal"/>
        <w:numPr>
          <w:ilvl w:val="2"/>
          <w:numId w:val="2"/>
        </w:numPr>
        <w:spacing w:lineRule="auto" w:line="276" w:before="120" w:after="120"/>
        <w:jc w:val="both"/>
        <w:rPr/>
      </w:pPr>
      <w:r>
        <w:rPr>
          <w:rFonts w:cs="Arial"/>
          <w:szCs w:val="20"/>
        </w:rPr>
        <w:t>A contratante realizará inspeção minuciosa de todos os serviços executados, por meio de profissionais técnicos competentes, acompanhados dos profissionais encarregados pelo serviço, com a finalidade de verificar a adequação dos serviços e constatar e relacionar os arremates, retoques e revisões finais que se fizerem necessários.</w:t>
      </w:r>
    </w:p>
    <w:p>
      <w:pPr>
        <w:pStyle w:val="Normal"/>
        <w:numPr>
          <w:ilvl w:val="3"/>
          <w:numId w:val="2"/>
        </w:numPr>
        <w:spacing w:lineRule="auto" w:line="276" w:before="120" w:after="120"/>
        <w:jc w:val="both"/>
        <w:rPr>
          <w:rFonts w:cs="Arial"/>
          <w:szCs w:val="20"/>
        </w:rPr>
      </w:pPr>
      <w:r>
        <w:rPr>
          <w:rFonts w:cs="Arial"/>
          <w:szCs w:val="20"/>
        </w:rPr>
        <w:t>Para efeito de recebimento provisório, ao final de cada período de faturamento, o fiscal técnico do contrato irá apurar o resultado das avaliações da execução do objeto e, se for o caso, a análise do desempenho e qualidade da prestação dos serviços realizados em consonância com os indicadores previstos, que poderá resultar no redimensionamento de valores a serem pagos à contratada, registrando em relatório a ser encaminhado ao gestor do contrato</w:t>
      </w:r>
    </w:p>
    <w:p>
      <w:pPr>
        <w:pStyle w:val="Normal"/>
        <w:numPr>
          <w:ilvl w:val="3"/>
          <w:numId w:val="2"/>
        </w:numPr>
        <w:spacing w:lineRule="auto" w:line="276" w:before="120" w:after="120"/>
        <w:jc w:val="both"/>
        <w:rPr>
          <w:rFonts w:cs="Arial"/>
          <w:color w:val="000000"/>
          <w:szCs w:val="20"/>
          <w:lang w:eastAsia="en-US"/>
        </w:rPr>
      </w:pPr>
      <w:r>
        <w:rPr>
          <w:rFonts w:cs="Arial"/>
          <w:color w:val="000000"/>
          <w:szCs w:val="20"/>
          <w:lang w:eastAsia="en-US"/>
        </w:rPr>
        <w:t>A Contratada fica obrigada a reparar, corrigir, remover, reconstruir ou substituir, às suas expensas, no todo ou em parte, o objeto em que se verificarem vícios, defeitos ou incorreções resultantes da execução ou materiais empregados, cabendo à fiscalização não atestar a última e/ou única medição de serviços até que sejam sanadas todas as eventuais pendências que possam vir a ser apontadas no Recebimento Provisório.</w:t>
      </w:r>
    </w:p>
    <w:p>
      <w:pPr>
        <w:pStyle w:val="ListParagraph"/>
        <w:numPr>
          <w:ilvl w:val="3"/>
          <w:numId w:val="2"/>
        </w:numPr>
        <w:spacing w:lineRule="auto" w:line="276" w:before="120" w:after="120"/>
        <w:contextualSpacing/>
        <w:jc w:val="both"/>
        <w:rPr>
          <w:rFonts w:cs="Arial"/>
          <w:color w:val="000000"/>
          <w:szCs w:val="20"/>
          <w:lang w:eastAsia="en-US"/>
        </w:rPr>
      </w:pPr>
      <w:r>
        <w:rPr>
          <w:rFonts w:cs="Arial"/>
          <w:color w:val="000000"/>
          <w:szCs w:val="20"/>
          <w:lang w:eastAsia="en-US"/>
        </w:rPr>
        <w:t>O recebimento provisório também ficará sujeito, quando cabível, à conclusão de todos os testes de campo e à entrega dos Manuais e Instruções exigíveis.</w:t>
      </w:r>
    </w:p>
    <w:p>
      <w:pPr>
        <w:pStyle w:val="Normal"/>
        <w:numPr>
          <w:ilvl w:val="2"/>
          <w:numId w:val="2"/>
        </w:numPr>
        <w:spacing w:lineRule="auto" w:line="276" w:before="120" w:after="120"/>
        <w:jc w:val="both"/>
        <w:rPr/>
      </w:pPr>
      <w:r>
        <w:rPr>
          <w:rFonts w:cs="Arial"/>
          <w:color w:val="000000"/>
          <w:szCs w:val="20"/>
          <w:lang w:eastAsia="en-US"/>
        </w:rPr>
        <w:t xml:space="preserve">No prazo de </w:t>
      </w:r>
      <w:r>
        <w:rPr>
          <w:rFonts w:cs="Arial"/>
          <w:szCs w:val="20"/>
          <w:lang w:eastAsia="en-US"/>
        </w:rPr>
        <w:t xml:space="preserve">até 10 dias corridos a </w:t>
      </w:r>
      <w:r>
        <w:rPr>
          <w:rFonts w:cs="Arial"/>
          <w:color w:val="000000"/>
          <w:szCs w:val="20"/>
          <w:lang w:eastAsia="en-US"/>
        </w:rPr>
        <w:t xml:space="preserve">partir do recebimento dos documentos da CONTRATADA, cada fiscal ou a equipe de fiscalização deverá elaborar Relatório Circunstanciado em consonância com suas atribuições, e encaminhá-lo ao gestor do contrato. </w:t>
      </w:r>
    </w:p>
    <w:p>
      <w:pPr>
        <w:pStyle w:val="Normal"/>
        <w:numPr>
          <w:ilvl w:val="3"/>
          <w:numId w:val="2"/>
        </w:numPr>
        <w:spacing w:lineRule="auto" w:line="276" w:before="120" w:after="120"/>
        <w:jc w:val="both"/>
        <w:rPr/>
      </w:pPr>
      <w:r>
        <w:rPr>
          <w:rFonts w:cs="Arial"/>
          <w:szCs w:val="20"/>
        </w:rPr>
        <w:t xml:space="preserve">quando a fiscalização for exercida por um único servidor, o relatório circunstanciado </w:t>
      </w:r>
      <w:r>
        <w:rPr>
          <w:rFonts w:cs="Arial"/>
          <w:color w:val="000000"/>
          <w:szCs w:val="20"/>
          <w:lang w:eastAsia="en-US"/>
        </w:rPr>
        <w:t>deverá</w:t>
      </w:r>
      <w:r>
        <w:rPr>
          <w:rFonts w:cs="Arial"/>
          <w:szCs w:val="20"/>
        </w:rPr>
        <w:t xml:space="preserve"> conter o registro, a análise e a conclusão acerca das ocorrências na execução do contrato, em relação à fiscalização técnica e administrativa e demais documentos que julgar necessários, devendo encaminhá-los ao gestor do contrato para recebimento definitivo.</w:t>
      </w:r>
    </w:p>
    <w:p>
      <w:pPr>
        <w:pStyle w:val="Normal"/>
        <w:numPr>
          <w:ilvl w:val="3"/>
          <w:numId w:val="2"/>
        </w:numPr>
        <w:spacing w:lineRule="auto" w:line="276" w:before="120" w:after="120"/>
        <w:jc w:val="both"/>
        <w:rPr>
          <w:rFonts w:cs="Arial"/>
          <w:szCs w:val="20"/>
        </w:rPr>
      </w:pPr>
      <w:r>
        <w:rPr>
          <w:rFonts w:cs="Arial"/>
          <w:szCs w:val="20"/>
        </w:rPr>
        <w:t xml:space="preserve">Será considerado como ocorrido o recebimento provisório com a entrega do relatório circunstanciado ou, em havendo mais de um a ser feito, com a entrega do último. </w:t>
      </w:r>
    </w:p>
    <w:p>
      <w:pPr>
        <w:pStyle w:val="ListParagraph"/>
        <w:numPr>
          <w:ilvl w:val="4"/>
          <w:numId w:val="2"/>
        </w:numPr>
        <w:spacing w:lineRule="auto" w:line="276" w:before="120" w:after="120"/>
        <w:contextualSpacing/>
        <w:jc w:val="both"/>
        <w:rPr>
          <w:rFonts w:cs="Arial"/>
          <w:color w:val="000000"/>
          <w:szCs w:val="20"/>
          <w:lang w:eastAsia="en-US"/>
        </w:rPr>
      </w:pPr>
      <w:r>
        <w:rPr>
          <w:rFonts w:cs="Arial"/>
          <w:color w:val="000000"/>
          <w:szCs w:val="20"/>
          <w:lang w:eastAsia="en-US"/>
        </w:rPr>
        <w:t>Na hipótese de a verificação a que se refere o parágrafo anterior não ser procedida tempestivamente, reputar-se-á como realizada, consumando-se o recebimento provisório no dia do esgotamento do prazo.</w:t>
      </w:r>
    </w:p>
    <w:p>
      <w:pPr>
        <w:pStyle w:val="Normal"/>
        <w:numPr>
          <w:ilvl w:val="1"/>
          <w:numId w:val="2"/>
        </w:numPr>
        <w:spacing w:lineRule="auto" w:line="276" w:before="120" w:after="120"/>
        <w:ind w:left="425" w:right="0" w:hanging="0"/>
        <w:jc w:val="both"/>
        <w:rPr/>
      </w:pPr>
      <w:r>
        <w:rPr>
          <w:rFonts w:cs="Arial"/>
          <w:color w:val="000000"/>
          <w:szCs w:val="20"/>
          <w:lang w:eastAsia="en-US"/>
        </w:rPr>
        <w:t xml:space="preserve">No </w:t>
      </w:r>
      <w:r>
        <w:rPr>
          <w:rFonts w:cs="Arial"/>
          <w:iCs/>
          <w:szCs w:val="20"/>
        </w:rPr>
        <w:t>prazo</w:t>
      </w:r>
      <w:r>
        <w:rPr>
          <w:rFonts w:cs="Arial"/>
          <w:color w:val="000000"/>
          <w:szCs w:val="20"/>
          <w:lang w:eastAsia="en-US"/>
        </w:rPr>
        <w:t xml:space="preserve"> d</w:t>
      </w:r>
      <w:r>
        <w:rPr>
          <w:rFonts w:cs="Arial"/>
          <w:szCs w:val="20"/>
          <w:lang w:eastAsia="en-US"/>
        </w:rPr>
        <w:t xml:space="preserve">e até 12 (doze) dias corridos </w:t>
      </w:r>
      <w:r>
        <w:rPr>
          <w:rFonts w:cs="Arial"/>
          <w:color w:val="000000"/>
          <w:szCs w:val="20"/>
          <w:lang w:eastAsia="en-US"/>
        </w:rPr>
        <w:t xml:space="preserve">a partir do recebimento provisório dos serviços, o Gestor do Contrato deverá providenciar o recebimento definitivo, ato que concretiza o ateste da execução dos serviços, obedecendo as seguintes diretrizes: </w:t>
      </w:r>
    </w:p>
    <w:p>
      <w:pPr>
        <w:pStyle w:val="Normal"/>
        <w:numPr>
          <w:ilvl w:val="2"/>
          <w:numId w:val="2"/>
        </w:numPr>
        <w:spacing w:lineRule="auto" w:line="276" w:before="120" w:after="120"/>
        <w:jc w:val="both"/>
        <w:rPr>
          <w:rFonts w:cs="Arial"/>
          <w:color w:val="000000"/>
          <w:szCs w:val="20"/>
          <w:lang w:eastAsia="en-US"/>
        </w:rPr>
      </w:pPr>
      <w:r>
        <w:rPr>
          <w:rFonts w:cs="Arial"/>
          <w:color w:val="000000"/>
          <w:szCs w:val="20"/>
          <w:lang w:eastAsia="en-US"/>
        </w:rPr>
        <w:t xml:space="preserve">Realizar a análise dos relatórios e de toda a documentação apresentada pela fiscalização e, caso haja irregularidades que impeçam a liquidação e o pagamento da despesa, indicar as cláusulas contratuais pertinentes, solicitando à CONTRATADA, por escrito, as respectivas correções; </w:t>
      </w:r>
    </w:p>
    <w:p>
      <w:pPr>
        <w:pStyle w:val="Normal"/>
        <w:numPr>
          <w:ilvl w:val="2"/>
          <w:numId w:val="2"/>
        </w:numPr>
        <w:spacing w:lineRule="auto" w:line="276" w:before="120" w:after="120"/>
        <w:jc w:val="both"/>
        <w:rPr>
          <w:rFonts w:cs="Arial"/>
          <w:color w:val="000000"/>
          <w:szCs w:val="20"/>
          <w:lang w:eastAsia="en-US"/>
        </w:rPr>
      </w:pPr>
      <w:r>
        <w:rPr>
          <w:rFonts w:cs="Arial"/>
          <w:color w:val="000000"/>
          <w:szCs w:val="20"/>
          <w:lang w:eastAsia="en-US"/>
        </w:rPr>
        <w:t xml:space="preserve">Emitir Termo Circunstanciado para efeito de recebimento definitivo dos serviços prestados, com base nos relatórios e documentações apresentadas; e </w:t>
      </w:r>
    </w:p>
    <w:p>
      <w:pPr>
        <w:pStyle w:val="Normal"/>
        <w:numPr>
          <w:ilvl w:val="2"/>
          <w:numId w:val="2"/>
        </w:numPr>
        <w:spacing w:lineRule="auto" w:line="276" w:before="120" w:after="120"/>
        <w:jc w:val="both"/>
        <w:rPr>
          <w:rFonts w:cs="Arial"/>
          <w:color w:val="000000"/>
          <w:szCs w:val="20"/>
          <w:lang w:eastAsia="en-US"/>
        </w:rPr>
      </w:pPr>
      <w:r>
        <w:rPr>
          <w:rFonts w:cs="Arial"/>
          <w:color w:val="000000"/>
          <w:szCs w:val="20"/>
          <w:lang w:eastAsia="en-US"/>
        </w:rPr>
        <w:t>Comunicar a empresa para que emita a Nota Fiscal ou Fatura, com o valor exato dimensionado pela fiscalização.</w:t>
      </w:r>
    </w:p>
    <w:p>
      <w:pPr>
        <w:pStyle w:val="Normal"/>
        <w:numPr>
          <w:ilvl w:val="1"/>
          <w:numId w:val="2"/>
        </w:numPr>
        <w:spacing w:lineRule="auto" w:line="276" w:before="120" w:after="120"/>
        <w:ind w:left="425" w:right="0" w:hanging="0"/>
        <w:jc w:val="both"/>
        <w:rPr>
          <w:rFonts w:cs="Arial"/>
          <w:szCs w:val="20"/>
        </w:rPr>
      </w:pPr>
      <w:r>
        <w:rPr>
          <w:rFonts w:cs="Arial"/>
          <w:szCs w:val="20"/>
        </w:rPr>
        <w:t>O recebimento provisório ou definitivo do objeto não exclui a responsabilidade da Contratada pelos prejuízos resultantes da incorreta execução do contrato, ou, em qualquer época, das garantias concedidas e das responsabilidades assumidas em contrato e por força das disposições legais em vigor (Lei n° 10.406, de 2002).</w:t>
      </w:r>
    </w:p>
    <w:p>
      <w:pPr>
        <w:pStyle w:val="Normal"/>
        <w:numPr>
          <w:ilvl w:val="1"/>
          <w:numId w:val="2"/>
        </w:numPr>
        <w:spacing w:lineRule="auto" w:line="276" w:before="120" w:after="120"/>
        <w:ind w:left="425" w:right="0" w:hanging="0"/>
        <w:jc w:val="both"/>
        <w:rPr>
          <w:rFonts w:cs="Arial"/>
          <w:szCs w:val="20"/>
        </w:rPr>
      </w:pPr>
      <w:r>
        <w:rPr>
          <w:rFonts w:cs="Arial"/>
          <w:szCs w:val="20"/>
        </w:rPr>
        <w:t>O gestor emitirá termo circunstanciado para efeito de recebimento definitivo dos serviços prestados, com base nos relatórios e documentação apresentados, e comunicará a CONTRATADA para que emita a Nota Fiscal ou Fatura com o valor exato dimensionado pela fiscalização com base no Instrumento de Medição de Resultado (IMR), ou instrumento substituto..</w:t>
      </w:r>
    </w:p>
    <w:p>
      <w:pPr>
        <w:pStyle w:val="Normal"/>
        <w:numPr>
          <w:ilvl w:val="1"/>
          <w:numId w:val="2"/>
        </w:numPr>
        <w:spacing w:lineRule="auto" w:line="276" w:before="120" w:after="120"/>
        <w:ind w:left="425" w:right="0" w:hanging="0"/>
        <w:jc w:val="both"/>
        <w:rPr>
          <w:rFonts w:cs="Arial"/>
          <w:szCs w:val="20"/>
        </w:rPr>
      </w:pPr>
      <w:r>
        <w:rPr>
          <w:rFonts w:cs="Arial"/>
          <w:szCs w:val="20"/>
        </w:rPr>
        <w:t>Os serviços poderão ser rejeitados, no todo ou em parte, quando em desacordo com as especificações constantes neste Termo de Referência e na proposta, devendo ser corrigidos/refeitos/substituídos no prazo fixado pelo fiscal do contrato, às custas da Contratada, sem prejuízo da aplicação de penalidades.</w:t>
      </w:r>
    </w:p>
    <w:p>
      <w:pPr>
        <w:pStyle w:val="Nivel1"/>
        <w:numPr>
          <w:ilvl w:val="0"/>
          <w:numId w:val="2"/>
        </w:numPr>
        <w:rPr>
          <w:rFonts w:cs="Arial"/>
          <w:color w:val="auto"/>
        </w:rPr>
      </w:pPr>
      <w:r>
        <w:rPr>
          <w:rFonts w:cs="Arial"/>
          <w:color w:val="auto"/>
        </w:rPr>
        <w:t>DO PAGAMENTO</w:t>
      </w:r>
    </w:p>
    <w:p>
      <w:pPr>
        <w:pStyle w:val="Normal"/>
        <w:numPr>
          <w:ilvl w:val="1"/>
          <w:numId w:val="2"/>
        </w:numPr>
        <w:spacing w:lineRule="auto" w:line="276" w:before="120" w:after="120"/>
        <w:ind w:left="425" w:right="0" w:hanging="0"/>
        <w:jc w:val="both"/>
        <w:rPr/>
      </w:pPr>
      <w:r>
        <w:rPr>
          <w:rFonts w:cs="Arial"/>
          <w:color w:val="000000"/>
          <w:szCs w:val="20"/>
        </w:rPr>
        <w:t xml:space="preserve">O </w:t>
      </w:r>
      <w:r>
        <w:rPr>
          <w:rFonts w:cs="Arial"/>
          <w:szCs w:val="20"/>
        </w:rPr>
        <w:t>pagamento</w:t>
      </w:r>
      <w:r>
        <w:rPr>
          <w:rFonts w:cs="Arial"/>
          <w:color w:val="000000"/>
          <w:szCs w:val="20"/>
        </w:rPr>
        <w:t xml:space="preserve"> será efetuado pela Contratante no prazo de</w:t>
      </w:r>
      <w:r>
        <w:rPr>
          <w:rFonts w:eastAsia="Arial" w:cs="Arial"/>
          <w:color w:val="000000"/>
          <w:szCs w:val="20"/>
        </w:rPr>
        <w:t xml:space="preserve"> 30 (trinta) </w:t>
      </w:r>
      <w:r>
        <w:rPr>
          <w:rFonts w:cs="Arial"/>
          <w:color w:val="000000"/>
          <w:szCs w:val="20"/>
        </w:rPr>
        <w:t xml:space="preserve">dias, contados do recebimento da Nota Fiscal/Fatura. </w:t>
      </w:r>
    </w:p>
    <w:p>
      <w:pPr>
        <w:pStyle w:val="Normal"/>
        <w:numPr>
          <w:ilvl w:val="2"/>
          <w:numId w:val="2"/>
        </w:numPr>
        <w:spacing w:lineRule="auto" w:line="276" w:before="120" w:after="120"/>
        <w:jc w:val="both"/>
        <w:rPr/>
      </w:pPr>
      <w:r>
        <w:rPr>
          <w:rFonts w:cs="Arial"/>
          <w:color w:val="000000"/>
          <w:szCs w:val="20"/>
          <w:lang w:eastAsia="en-US"/>
        </w:rPr>
        <w:t xml:space="preserve">Os </w:t>
      </w:r>
      <w:r>
        <w:rPr>
          <w:rFonts w:cs="Arial"/>
          <w:szCs w:val="20"/>
          <w:lang w:eastAsia="en-US"/>
        </w:rPr>
        <w:t xml:space="preserve">pagamentos decorrentes de despesas cujos valores não ultrapassem o limite </w:t>
      </w:r>
      <w:r>
        <w:rPr>
          <w:rFonts w:cs="Arial"/>
          <w:szCs w:val="20"/>
        </w:rPr>
        <w:t>de que trata o inciso II do art. 24</w:t>
      </w:r>
      <w:r>
        <w:rPr>
          <w:rFonts w:cs="Arial"/>
          <w:szCs w:val="20"/>
          <w:lang w:eastAsia="en-US"/>
        </w:rPr>
        <w:t xml:space="preserve"> da Lei 8.666, de 1993, deverão ser efetuados no prazo de até 5 (cinco) dias úteis, contados da data da apresentação da Nota Fiscal/Fatura, nos termos do art. 5º, § 3º, da Lei nº 8.666, </w:t>
      </w:r>
      <w:r>
        <w:rPr>
          <w:rFonts w:cs="Arial"/>
          <w:color w:val="000000"/>
          <w:szCs w:val="20"/>
          <w:lang w:eastAsia="en-US"/>
        </w:rPr>
        <w:t>de 1993.</w:t>
      </w:r>
    </w:p>
    <w:p>
      <w:pPr>
        <w:pStyle w:val="Normal"/>
        <w:numPr>
          <w:ilvl w:val="1"/>
          <w:numId w:val="2"/>
        </w:numPr>
        <w:spacing w:lineRule="auto" w:line="276" w:before="120" w:after="120"/>
        <w:ind w:left="425" w:right="0" w:hanging="0"/>
        <w:jc w:val="both"/>
        <w:rPr>
          <w:rFonts w:cs="Arial"/>
          <w:iCs/>
          <w:szCs w:val="20"/>
        </w:rPr>
      </w:pPr>
      <w:r>
        <w:rPr>
          <w:rFonts w:cs="Arial"/>
          <w:iCs/>
          <w:szCs w:val="20"/>
        </w:rPr>
        <w:t>Quando houver glosa parcial dos serviços, a contratante deverá comunicar a empresa para que emita a nota fiscal vou fatura com o valor exato dimensionado.</w:t>
      </w:r>
    </w:p>
    <w:p>
      <w:pPr>
        <w:pStyle w:val="Normal"/>
        <w:numPr>
          <w:ilvl w:val="1"/>
          <w:numId w:val="2"/>
        </w:numPr>
        <w:spacing w:lineRule="auto" w:line="276" w:before="120" w:after="120"/>
        <w:ind w:left="425" w:right="0" w:hanging="0"/>
        <w:jc w:val="both"/>
        <w:rPr>
          <w:rFonts w:cs="Arial"/>
          <w:iCs/>
          <w:szCs w:val="20"/>
        </w:rPr>
      </w:pPr>
      <w:r>
        <w:rPr>
          <w:rFonts w:cs="Arial"/>
          <w:iCs/>
          <w:szCs w:val="20"/>
        </w:rPr>
        <w:t>A emissão da Nota Fiscal/Fatura será precedida do recebimento definitivo do serviço, conforme este Termo de Referência</w:t>
      </w:r>
    </w:p>
    <w:p>
      <w:pPr>
        <w:pStyle w:val="Normal"/>
        <w:numPr>
          <w:ilvl w:val="1"/>
          <w:numId w:val="2"/>
        </w:numPr>
        <w:spacing w:lineRule="auto" w:line="276" w:before="120" w:after="120"/>
        <w:ind w:left="425" w:right="0" w:hanging="0"/>
        <w:jc w:val="both"/>
        <w:rPr/>
      </w:pPr>
      <w:r>
        <w:rPr>
          <w:rFonts w:cs="Arial"/>
          <w:color w:val="000000"/>
          <w:szCs w:val="20"/>
        </w:rPr>
        <w:t xml:space="preserve">A Nota Fiscal ou Fatura deverá ser obrigatoriamente acompanhada da comprovação da regularidade fiscal, constatada por meio de consulta on-line ao SICAF ou, na impossibilidade de acesso </w:t>
      </w:r>
      <w:r>
        <w:rPr>
          <w:rFonts w:cs="Arial"/>
          <w:color w:val="000000"/>
          <w:szCs w:val="20"/>
          <w:lang w:eastAsia="en-US"/>
        </w:rPr>
        <w:t>ao</w:t>
      </w:r>
      <w:r>
        <w:rPr>
          <w:rFonts w:cs="Arial"/>
          <w:color w:val="000000"/>
          <w:szCs w:val="20"/>
        </w:rPr>
        <w:t xml:space="preserve"> referido Sistema, mediante consulta aos sítios eletrônicos oficiais ou à documentação mencionada no art. 29 da Lei nº 8.666, de 1993. </w:t>
      </w:r>
    </w:p>
    <w:p>
      <w:pPr>
        <w:pStyle w:val="Normal"/>
        <w:numPr>
          <w:ilvl w:val="2"/>
          <w:numId w:val="2"/>
        </w:numPr>
        <w:spacing w:lineRule="auto" w:line="276" w:before="120" w:after="120"/>
        <w:jc w:val="both"/>
        <w:rPr/>
      </w:pPr>
      <w:r>
        <w:rPr>
          <w:rFonts w:cs="Arial"/>
          <w:color w:val="000000"/>
          <w:szCs w:val="20"/>
        </w:rPr>
        <w:t xml:space="preserve">Constatando-se, junto ao SICAF, a situação de irregularidade do fornecedor contratado, deverão ser tomadas as providências previstas no do art. 31 da Instrução </w:t>
      </w:r>
      <w:r>
        <w:rPr>
          <w:rFonts w:cs="Arial"/>
          <w:color w:val="000000"/>
          <w:szCs w:val="20"/>
          <w:lang w:eastAsia="en-US"/>
        </w:rPr>
        <w:t>Normativa</w:t>
      </w:r>
      <w:r>
        <w:rPr>
          <w:rFonts w:cs="Arial"/>
          <w:color w:val="000000"/>
          <w:szCs w:val="20"/>
        </w:rPr>
        <w:t xml:space="preserve"> nº 3, de 26 de abril de 2018.</w:t>
      </w:r>
    </w:p>
    <w:p>
      <w:pPr>
        <w:pStyle w:val="Normal"/>
        <w:numPr>
          <w:ilvl w:val="1"/>
          <w:numId w:val="2"/>
        </w:numPr>
        <w:spacing w:lineRule="auto" w:line="276" w:before="120" w:after="120"/>
        <w:ind w:left="425" w:right="0" w:hanging="0"/>
        <w:jc w:val="both"/>
        <w:rPr>
          <w:rFonts w:cs="Arial"/>
          <w:color w:val="000000"/>
          <w:szCs w:val="20"/>
        </w:rPr>
      </w:pPr>
      <w:r>
        <w:rPr>
          <w:rFonts w:cs="Arial"/>
          <w:color w:val="000000"/>
          <w:szCs w:val="20"/>
        </w:rPr>
        <w:t xml:space="preserve">O setor competente para proceder o pagamento deve verificar se a Nota Fiscal ou Fatura apresentada expressa os elementos necessários e essenciais do documento, tais como: </w:t>
      </w:r>
    </w:p>
    <w:p>
      <w:pPr>
        <w:pStyle w:val="Normal"/>
        <w:numPr>
          <w:ilvl w:val="2"/>
          <w:numId w:val="2"/>
        </w:numPr>
        <w:spacing w:lineRule="auto" w:line="276" w:before="120" w:after="120"/>
        <w:jc w:val="both"/>
        <w:rPr>
          <w:rFonts w:cs="Arial"/>
          <w:color w:val="000000"/>
          <w:szCs w:val="20"/>
        </w:rPr>
      </w:pPr>
      <w:r>
        <w:rPr>
          <w:rFonts w:cs="Arial"/>
          <w:color w:val="000000"/>
          <w:szCs w:val="20"/>
        </w:rPr>
        <w:t xml:space="preserve">o prazo de validade; </w:t>
      </w:r>
    </w:p>
    <w:p>
      <w:pPr>
        <w:pStyle w:val="Normal"/>
        <w:numPr>
          <w:ilvl w:val="2"/>
          <w:numId w:val="2"/>
        </w:numPr>
        <w:spacing w:lineRule="auto" w:line="276" w:before="120" w:after="120"/>
        <w:jc w:val="both"/>
        <w:rPr>
          <w:rFonts w:cs="Arial"/>
          <w:color w:val="000000"/>
          <w:szCs w:val="20"/>
        </w:rPr>
      </w:pPr>
      <w:r>
        <w:rPr>
          <w:rFonts w:cs="Arial"/>
          <w:color w:val="000000"/>
          <w:szCs w:val="20"/>
        </w:rPr>
        <w:t xml:space="preserve">a data da emissão; </w:t>
      </w:r>
    </w:p>
    <w:p>
      <w:pPr>
        <w:pStyle w:val="Normal"/>
        <w:numPr>
          <w:ilvl w:val="2"/>
          <w:numId w:val="2"/>
        </w:numPr>
        <w:spacing w:lineRule="auto" w:line="276" w:before="120" w:after="120"/>
        <w:jc w:val="both"/>
        <w:rPr>
          <w:rFonts w:cs="Arial"/>
          <w:color w:val="000000"/>
          <w:szCs w:val="20"/>
        </w:rPr>
      </w:pPr>
      <w:r>
        <w:rPr>
          <w:rFonts w:cs="Arial"/>
          <w:color w:val="000000"/>
          <w:szCs w:val="20"/>
        </w:rPr>
        <w:t xml:space="preserve">os dados do contrato e do órgão contratante; </w:t>
      </w:r>
    </w:p>
    <w:p>
      <w:pPr>
        <w:pStyle w:val="Normal"/>
        <w:numPr>
          <w:ilvl w:val="2"/>
          <w:numId w:val="2"/>
        </w:numPr>
        <w:spacing w:lineRule="auto" w:line="276" w:before="120" w:after="120"/>
        <w:jc w:val="both"/>
        <w:rPr>
          <w:rFonts w:cs="Arial"/>
          <w:color w:val="000000"/>
          <w:szCs w:val="20"/>
        </w:rPr>
      </w:pPr>
      <w:r>
        <w:rPr>
          <w:rFonts w:cs="Arial"/>
          <w:color w:val="000000"/>
          <w:szCs w:val="20"/>
        </w:rPr>
        <w:t xml:space="preserve">o período de prestação dos serviços; </w:t>
      </w:r>
    </w:p>
    <w:p>
      <w:pPr>
        <w:pStyle w:val="Normal"/>
        <w:numPr>
          <w:ilvl w:val="2"/>
          <w:numId w:val="2"/>
        </w:numPr>
        <w:spacing w:lineRule="auto" w:line="276" w:before="120" w:after="120"/>
        <w:jc w:val="both"/>
        <w:rPr>
          <w:rFonts w:cs="Arial"/>
          <w:color w:val="000000"/>
          <w:szCs w:val="20"/>
        </w:rPr>
      </w:pPr>
      <w:r>
        <w:rPr>
          <w:rFonts w:cs="Arial"/>
          <w:color w:val="000000"/>
          <w:szCs w:val="20"/>
        </w:rPr>
        <w:t xml:space="preserve">o valor a pagar; e </w:t>
      </w:r>
    </w:p>
    <w:p>
      <w:pPr>
        <w:pStyle w:val="Normal"/>
        <w:numPr>
          <w:ilvl w:val="2"/>
          <w:numId w:val="2"/>
        </w:numPr>
        <w:spacing w:lineRule="auto" w:line="276" w:before="120" w:after="120"/>
        <w:jc w:val="both"/>
        <w:rPr>
          <w:rFonts w:cs="Arial"/>
          <w:color w:val="000000"/>
          <w:szCs w:val="20"/>
        </w:rPr>
      </w:pPr>
      <w:r>
        <w:rPr>
          <w:rFonts w:cs="Arial"/>
          <w:color w:val="000000"/>
          <w:szCs w:val="20"/>
        </w:rPr>
        <w:t>eventual destaque do valor de retenções tributárias cabíveis.</w:t>
      </w:r>
    </w:p>
    <w:p>
      <w:pPr>
        <w:pStyle w:val="Normal"/>
        <w:numPr>
          <w:ilvl w:val="1"/>
          <w:numId w:val="2"/>
        </w:numPr>
        <w:spacing w:lineRule="auto" w:line="276" w:before="120" w:after="120"/>
        <w:ind w:left="425" w:right="0" w:hanging="0"/>
        <w:jc w:val="both"/>
        <w:rPr/>
      </w:pPr>
      <w:r>
        <w:rPr>
          <w:rFonts w:cs="Arial"/>
          <w:iCs/>
          <w:szCs w:val="20"/>
        </w:rPr>
        <w:t xml:space="preserve">Havendo erro </w:t>
      </w:r>
      <w:r>
        <w:rPr>
          <w:rFonts w:cs="Arial"/>
          <w:color w:val="000000"/>
          <w:szCs w:val="20"/>
        </w:rPr>
        <w:t>na</w:t>
      </w:r>
      <w:r>
        <w:rPr>
          <w:rFonts w:cs="Arial"/>
          <w:iCs/>
          <w:szCs w:val="20"/>
        </w:rPr>
        <w:t xml:space="preserve"> apresentação da Nota Fiscal/Fatura, ou circunstância que impeça a liquidação da despesa, o pagamento ficará sobrestado até que a Contratada providencie as medidas saneadoras. Nesta hipótese, o prazo para pagamento iniciar-se-á após a comprovação da regularização da situação, não acarretando qualquer ônus para a Contratante;</w:t>
      </w:r>
    </w:p>
    <w:p>
      <w:pPr>
        <w:pStyle w:val="Normal"/>
        <w:numPr>
          <w:ilvl w:val="1"/>
          <w:numId w:val="2"/>
        </w:numPr>
        <w:spacing w:lineRule="auto" w:line="276" w:before="120" w:after="120"/>
        <w:ind w:left="425" w:right="0" w:hanging="0"/>
        <w:jc w:val="both"/>
        <w:rPr/>
      </w:pPr>
      <w:r>
        <w:rPr>
          <w:rFonts w:cs="Arial"/>
          <w:szCs w:val="20"/>
        </w:rPr>
        <w:t xml:space="preserve">Nos termos do item 1, do Anexo VIII-A da Instrução Normativa SEGES/MP nº 05, de 2017, será </w:t>
      </w:r>
      <w:r>
        <w:rPr>
          <w:rFonts w:cs="Arial"/>
          <w:color w:val="000000"/>
          <w:szCs w:val="20"/>
        </w:rPr>
        <w:t>efetuada</w:t>
      </w:r>
      <w:r>
        <w:rPr>
          <w:rFonts w:cs="Arial"/>
          <w:szCs w:val="20"/>
          <w:lang w:eastAsia="en-US"/>
        </w:rPr>
        <w:t xml:space="preserve"> a retenção ou glosa no pagamento, proporcional à irregularidade verificada, sem prejuízo das sanções cabíveis, caso se constate que a Contratada:</w:t>
      </w:r>
    </w:p>
    <w:p>
      <w:pPr>
        <w:pStyle w:val="Normal"/>
        <w:numPr>
          <w:ilvl w:val="2"/>
          <w:numId w:val="2"/>
        </w:numPr>
        <w:spacing w:lineRule="auto" w:line="276" w:before="120" w:after="120"/>
        <w:jc w:val="both"/>
        <w:rPr>
          <w:rFonts w:cs="Arial"/>
          <w:color w:val="000000"/>
          <w:szCs w:val="20"/>
        </w:rPr>
      </w:pPr>
      <w:r>
        <w:rPr>
          <w:rFonts w:cs="Arial"/>
          <w:color w:val="000000"/>
          <w:szCs w:val="20"/>
        </w:rPr>
        <w:t>não produziu os resultados acordados;</w:t>
      </w:r>
    </w:p>
    <w:p>
      <w:pPr>
        <w:pStyle w:val="Normal"/>
        <w:numPr>
          <w:ilvl w:val="2"/>
          <w:numId w:val="2"/>
        </w:numPr>
        <w:spacing w:lineRule="auto" w:line="276" w:before="120" w:after="120"/>
        <w:jc w:val="both"/>
        <w:rPr>
          <w:rFonts w:cs="Arial"/>
          <w:color w:val="000000"/>
          <w:szCs w:val="20"/>
        </w:rPr>
      </w:pPr>
      <w:r>
        <w:rPr>
          <w:rFonts w:cs="Arial"/>
          <w:color w:val="000000"/>
          <w:szCs w:val="20"/>
        </w:rPr>
        <w:t>deixou de executar as atividades contratadas, ou não as executou com a qualidade mínima exigida;</w:t>
      </w:r>
    </w:p>
    <w:p>
      <w:pPr>
        <w:pStyle w:val="Normal"/>
        <w:numPr>
          <w:ilvl w:val="2"/>
          <w:numId w:val="2"/>
        </w:numPr>
        <w:spacing w:lineRule="auto" w:line="276" w:before="120" w:after="120"/>
        <w:jc w:val="both"/>
        <w:rPr>
          <w:rFonts w:cs="Arial"/>
          <w:color w:val="000000"/>
          <w:szCs w:val="20"/>
        </w:rPr>
      </w:pPr>
      <w:r>
        <w:rPr>
          <w:rFonts w:cs="Arial"/>
          <w:color w:val="000000"/>
          <w:szCs w:val="20"/>
        </w:rPr>
        <w:t>deixou de utilizar os materiais e recursos humanos exigidos para a execução do serviço, ou utilizou-os com qualidade ou quantidade inferior à demandada.</w:t>
      </w:r>
    </w:p>
    <w:p>
      <w:pPr>
        <w:pStyle w:val="Normal"/>
        <w:numPr>
          <w:ilvl w:val="1"/>
          <w:numId w:val="2"/>
        </w:numPr>
        <w:spacing w:lineRule="auto" w:line="276" w:before="120" w:after="120"/>
        <w:ind w:left="425" w:right="0" w:hanging="0"/>
        <w:jc w:val="both"/>
        <w:rPr>
          <w:rFonts w:cs="Arial"/>
          <w:szCs w:val="20"/>
          <w:lang w:eastAsia="en-US"/>
        </w:rPr>
      </w:pPr>
      <w:r>
        <w:rPr>
          <w:rFonts w:cs="Arial"/>
          <w:szCs w:val="20"/>
          <w:lang w:eastAsia="en-US"/>
        </w:rPr>
        <w:t>Será considerada data do pagamento o dia em que constar como emitida a ordem bancária para pagamento.</w:t>
      </w:r>
    </w:p>
    <w:p>
      <w:pPr>
        <w:pStyle w:val="Normal"/>
        <w:numPr>
          <w:ilvl w:val="1"/>
          <w:numId w:val="2"/>
        </w:numPr>
        <w:spacing w:lineRule="auto" w:line="276" w:before="120" w:after="120"/>
        <w:ind w:left="425" w:right="0" w:hanging="0"/>
        <w:jc w:val="both"/>
        <w:rPr>
          <w:rFonts w:cs="Arial"/>
          <w:szCs w:val="20"/>
          <w:lang w:eastAsia="en-US"/>
        </w:rPr>
      </w:pPr>
      <w:r>
        <w:rPr>
          <w:rFonts w:cs="Arial"/>
          <w:szCs w:val="20"/>
          <w:lang w:eastAsia="en-US"/>
        </w:rPr>
        <w:t xml:space="preserve">Antes de cada pagamento à contratada, será realizada consulta ao SICAF para verificar a manutenção das condições de habilitação exigidas no edital. </w:t>
      </w:r>
    </w:p>
    <w:p>
      <w:pPr>
        <w:pStyle w:val="Normal"/>
        <w:numPr>
          <w:ilvl w:val="1"/>
          <w:numId w:val="2"/>
        </w:numPr>
        <w:spacing w:lineRule="auto" w:line="276" w:before="120" w:after="120"/>
        <w:ind w:left="425" w:right="0" w:hanging="0"/>
        <w:jc w:val="both"/>
        <w:rPr>
          <w:rFonts w:cs="Arial"/>
          <w:szCs w:val="20"/>
          <w:lang w:eastAsia="en-US"/>
        </w:rPr>
      </w:pPr>
      <w:r>
        <w:rPr>
          <w:rFonts w:cs="Arial"/>
          <w:szCs w:val="20"/>
          <w:lang w:eastAsia="en-US"/>
        </w:rPr>
        <w:t>Constatando-se, junto ao SICAF, a situação de irregularidade da contratada, será providenciada sua notificação, por escrito, para que, no prazo de 5 (cinco) dias úteis, regularize sua situação ou, no mesmo prazo, apresente sua defesa. O prazo poderá ser prorrogado uma vez, por igual período, a critério da contratante.</w:t>
      </w:r>
    </w:p>
    <w:p>
      <w:pPr>
        <w:pStyle w:val="Normal"/>
        <w:numPr>
          <w:ilvl w:val="1"/>
          <w:numId w:val="2"/>
        </w:numPr>
        <w:spacing w:lineRule="auto" w:line="276" w:before="120" w:after="120"/>
        <w:ind w:left="425" w:right="0" w:hanging="0"/>
        <w:jc w:val="both"/>
        <w:rPr>
          <w:rFonts w:cs="Arial"/>
          <w:szCs w:val="20"/>
          <w:lang w:eastAsia="en-US"/>
        </w:rPr>
      </w:pPr>
      <w:r>
        <w:rPr>
          <w:rFonts w:cs="Arial"/>
          <w:szCs w:val="20"/>
          <w:lang w:eastAsia="en-US"/>
        </w:rPr>
        <w:t>Previamente à emissão de nota de empenho e a cada pagamento, a Administração deverá realizar consulta ao SICAF para identificar possível suspensão temporária de participação em licitação, no âmbito do órgão ou entidade, proibição de contratar com o Poder Público, bem como ocorrências impeditivas indiretas, observado o disposto no art. 29, da Instrução Normativa nº 3, de 26 de abril de 2018.</w:t>
      </w:r>
    </w:p>
    <w:p>
      <w:pPr>
        <w:pStyle w:val="Normal"/>
        <w:numPr>
          <w:ilvl w:val="1"/>
          <w:numId w:val="2"/>
        </w:numPr>
        <w:spacing w:lineRule="auto" w:line="276" w:before="120" w:after="120"/>
        <w:ind w:left="425" w:right="0" w:hanging="0"/>
        <w:jc w:val="both"/>
        <w:rPr>
          <w:rFonts w:cs="Arial"/>
          <w:szCs w:val="20"/>
          <w:lang w:eastAsia="en-US"/>
        </w:rPr>
      </w:pPr>
      <w:r>
        <w:rPr>
          <w:rFonts w:cs="Arial"/>
          <w:szCs w:val="20"/>
          <w:lang w:eastAsia="en-US"/>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pPr>
        <w:pStyle w:val="Normal"/>
        <w:numPr>
          <w:ilvl w:val="1"/>
          <w:numId w:val="2"/>
        </w:numPr>
        <w:spacing w:lineRule="auto" w:line="276" w:before="120" w:after="120"/>
        <w:ind w:left="425" w:right="0" w:hanging="0"/>
        <w:jc w:val="both"/>
        <w:rPr>
          <w:rFonts w:cs="Arial"/>
          <w:szCs w:val="20"/>
          <w:lang w:eastAsia="en-US"/>
        </w:rPr>
      </w:pPr>
      <w:r>
        <w:rPr>
          <w:rFonts w:cs="Arial"/>
          <w:szCs w:val="20"/>
          <w:lang w:eastAsia="en-US"/>
        </w:rPr>
        <w:t xml:space="preserve">Persistindo a irregularidade, a contratante deverá adotar as medidas necessárias à rescisão contratual nos autos do processo administrativo correspondente, assegurada à contratada a ampla defesa. </w:t>
      </w:r>
    </w:p>
    <w:p>
      <w:pPr>
        <w:pStyle w:val="Normal"/>
        <w:numPr>
          <w:ilvl w:val="1"/>
          <w:numId w:val="2"/>
        </w:numPr>
        <w:spacing w:lineRule="auto" w:line="276" w:before="120" w:after="120"/>
        <w:ind w:left="425" w:right="0" w:hanging="0"/>
        <w:jc w:val="both"/>
        <w:rPr>
          <w:rFonts w:cs="Arial"/>
          <w:szCs w:val="20"/>
          <w:lang w:eastAsia="en-US"/>
        </w:rPr>
      </w:pPr>
      <w:r>
        <w:rPr>
          <w:rFonts w:cs="Arial"/>
          <w:szCs w:val="20"/>
          <w:lang w:eastAsia="en-US"/>
        </w:rPr>
        <w:t xml:space="preserve">Havendo a efetiva execução do objeto, os pagamentos serão realizados normalmente, até que se decida pela rescisão do contrato, caso a contratada não regularize sua situação junto ao SICAF.  </w:t>
      </w:r>
    </w:p>
    <w:p>
      <w:pPr>
        <w:pStyle w:val="Normal"/>
        <w:numPr>
          <w:ilvl w:val="2"/>
          <w:numId w:val="2"/>
        </w:numPr>
        <w:spacing w:lineRule="auto" w:line="276" w:before="120" w:after="120"/>
        <w:jc w:val="both"/>
        <w:rPr>
          <w:rFonts w:cs="Arial"/>
          <w:szCs w:val="20"/>
          <w:lang w:eastAsia="en-US"/>
        </w:rPr>
      </w:pPr>
      <w:r>
        <w:rPr>
          <w:rFonts w:cs="Arial"/>
          <w:szCs w:val="20"/>
          <w:lang w:eastAsia="en-US"/>
        </w:rPr>
        <w:t xml:space="preserve">Será rescindido o contrato em execução com a contratada inadimplente no SICAF, salvo por motivo de economicidade, segurança nacional ou outro de interesse público de alta relevância, devidamente justificado, em qualquer caso, pela máxima autoridade da contratante. </w:t>
      </w:r>
    </w:p>
    <w:p>
      <w:pPr>
        <w:pStyle w:val="Normal"/>
        <w:numPr>
          <w:ilvl w:val="1"/>
          <w:numId w:val="2"/>
        </w:numPr>
        <w:spacing w:lineRule="auto" w:line="276" w:before="120" w:after="120"/>
        <w:ind w:left="425" w:right="0" w:hanging="0"/>
        <w:jc w:val="both"/>
        <w:rPr>
          <w:rFonts w:cs="Arial"/>
          <w:szCs w:val="20"/>
          <w:lang w:eastAsia="en-US"/>
        </w:rPr>
      </w:pPr>
      <w:r>
        <w:rPr>
          <w:rFonts w:cs="Arial"/>
          <w:szCs w:val="20"/>
          <w:lang w:eastAsia="en-US"/>
        </w:rPr>
        <w:t>Quando do pagamento, será efetuada a retenção tributária prevista na legislação aplicável, em especial a prevista no artigo 31 da Lei 8.212, de 1993, nos termos do item 6 do Anexo XI da IN SEGES/MP n. 5/2017, quando couber.</w:t>
      </w:r>
    </w:p>
    <w:p>
      <w:pPr>
        <w:pStyle w:val="Normal"/>
        <w:spacing w:lineRule="auto" w:line="276" w:before="120" w:after="120"/>
        <w:ind w:left="425" w:right="0" w:hanging="0"/>
        <w:jc w:val="both"/>
        <w:rPr>
          <w:rFonts w:cs="Arial"/>
          <w:szCs w:val="20"/>
          <w:lang w:eastAsia="en-US"/>
        </w:rPr>
      </w:pPr>
      <w:r>
        <w:rPr>
          <w:rFonts w:cs="Arial"/>
          <w:szCs w:val="20"/>
          <w:lang w:eastAsia="en-US"/>
        </w:rPr>
      </w:r>
    </w:p>
    <w:p>
      <w:pPr>
        <w:pStyle w:val="Normal"/>
        <w:numPr>
          <w:ilvl w:val="1"/>
          <w:numId w:val="2"/>
        </w:numPr>
        <w:spacing w:lineRule="auto" w:line="276" w:before="120" w:after="120"/>
        <w:ind w:left="425" w:right="0" w:hanging="0"/>
        <w:jc w:val="both"/>
        <w:rPr/>
      </w:pPr>
      <w:r>
        <w:rPr>
          <w:rFonts w:cs="Arial"/>
          <w:szCs w:val="20"/>
          <w:lang w:eastAsia="en-US"/>
        </w:rPr>
        <w:t xml:space="preserve"> </w:t>
      </w:r>
      <w:r>
        <w:rPr>
          <w:rFonts w:cs="Arial"/>
          <w:szCs w:val="20"/>
          <w:shd w:fill="auto" w:val="clear"/>
          <w:lang w:eastAsia="en-US"/>
        </w:rPr>
        <w:t>Nos casos de eventuais atrasos de pagamento, desde que a Contratada não tenha concorrido, de alguma forma, para tanto, o valor devido deverá ser acrescido de atualização financeira, e sua apuração se fará desde a data de seu vencimento até a data do efetivo pagamento, em que os juros de mora serão calculados à taxa de 0,5% (meio por cento) ao mês, ou 6% (seis por cento) ao ano, mediante aplicação das seguintes fórmulas:</w:t>
      </w:r>
    </w:p>
    <w:p>
      <w:pPr>
        <w:pStyle w:val="Normal"/>
        <w:spacing w:lineRule="auto" w:line="276"/>
        <w:ind w:left="426" w:right="0" w:firstLine="708"/>
        <w:jc w:val="both"/>
        <w:rPr>
          <w:rFonts w:cs="Arial"/>
          <w:szCs w:val="20"/>
        </w:rPr>
      </w:pPr>
      <w:r>
        <w:rPr>
          <w:rFonts w:cs="Arial"/>
          <w:szCs w:val="20"/>
        </w:rPr>
        <w:t>EM = I x N x VP, sendo:</w:t>
      </w:r>
    </w:p>
    <w:p>
      <w:pPr>
        <w:pStyle w:val="Normal"/>
        <w:tabs>
          <w:tab w:val="clear" w:pos="708"/>
          <w:tab w:val="left" w:pos="1701" w:leader="none"/>
        </w:tabs>
        <w:spacing w:lineRule="auto" w:line="276"/>
        <w:ind w:left="0" w:right="0" w:firstLine="1134"/>
        <w:jc w:val="both"/>
        <w:rPr>
          <w:rFonts w:cs="Arial"/>
          <w:color w:val="000000"/>
          <w:szCs w:val="20"/>
        </w:rPr>
      </w:pPr>
      <w:r>
        <w:rPr>
          <w:rFonts w:cs="Arial"/>
          <w:color w:val="000000"/>
          <w:szCs w:val="20"/>
        </w:rPr>
        <w:t>EM = Encargos moratórios;</w:t>
      </w:r>
    </w:p>
    <w:p>
      <w:pPr>
        <w:pStyle w:val="Normal"/>
        <w:tabs>
          <w:tab w:val="clear" w:pos="708"/>
          <w:tab w:val="left" w:pos="1701" w:leader="none"/>
        </w:tabs>
        <w:spacing w:lineRule="auto" w:line="276"/>
        <w:ind w:left="0" w:right="0" w:firstLine="1134"/>
        <w:jc w:val="both"/>
        <w:rPr>
          <w:rFonts w:cs="Arial"/>
          <w:color w:val="000000"/>
          <w:szCs w:val="20"/>
        </w:rPr>
      </w:pPr>
      <w:r>
        <w:rPr>
          <w:rFonts w:cs="Arial"/>
          <w:color w:val="000000"/>
          <w:szCs w:val="20"/>
        </w:rPr>
        <w:t>N = Número de dias entre a data prevista para o pagamento e a do efetivo pagamento;</w:t>
      </w:r>
    </w:p>
    <w:p>
      <w:pPr>
        <w:pStyle w:val="Normal"/>
        <w:tabs>
          <w:tab w:val="clear" w:pos="708"/>
          <w:tab w:val="left" w:pos="1701" w:leader="none"/>
        </w:tabs>
        <w:spacing w:lineRule="auto" w:line="276"/>
        <w:ind w:left="0" w:right="0" w:firstLine="1134"/>
        <w:jc w:val="both"/>
        <w:rPr>
          <w:rFonts w:cs="Arial"/>
          <w:color w:val="000000"/>
          <w:szCs w:val="20"/>
        </w:rPr>
      </w:pPr>
      <w:r>
        <w:rPr>
          <w:rFonts w:cs="Arial"/>
          <w:color w:val="000000"/>
          <w:szCs w:val="20"/>
        </w:rPr>
        <w:t>VP = Valor da parcela a ser paga.</w:t>
      </w:r>
    </w:p>
    <w:p>
      <w:pPr>
        <w:pStyle w:val="Normal"/>
        <w:tabs>
          <w:tab w:val="clear" w:pos="708"/>
          <w:tab w:val="left" w:pos="1701" w:leader="none"/>
        </w:tabs>
        <w:spacing w:lineRule="auto" w:line="276"/>
        <w:ind w:left="0" w:right="0" w:firstLine="1134"/>
        <w:jc w:val="both"/>
        <w:rPr>
          <w:rFonts w:cs="Arial"/>
          <w:color w:val="000000"/>
          <w:szCs w:val="20"/>
        </w:rPr>
      </w:pPr>
      <w:r>
        <w:rPr>
          <w:rFonts w:cs="Arial"/>
          <w:color w:val="000000"/>
          <w:szCs w:val="20"/>
        </w:rPr>
        <w:t>I = Índice de compensação financeira = 0,00016438, assim apurado:</w:t>
      </w:r>
    </w:p>
    <w:tbl>
      <w:tblPr>
        <w:tblW w:w="8646" w:type="dxa"/>
        <w:jc w:val="left"/>
        <w:tblInd w:w="317" w:type="dxa"/>
        <w:tblLayout w:type="fixed"/>
        <w:tblCellMar>
          <w:top w:w="0" w:type="dxa"/>
          <w:left w:w="108" w:type="dxa"/>
          <w:bottom w:w="0" w:type="dxa"/>
          <w:right w:w="108" w:type="dxa"/>
        </w:tblCellMar>
      </w:tblPr>
      <w:tblGrid>
        <w:gridCol w:w="2149"/>
        <w:gridCol w:w="441"/>
        <w:gridCol w:w="1247"/>
        <w:gridCol w:w="4809"/>
      </w:tblGrid>
      <w:tr>
        <w:trPr/>
        <w:tc>
          <w:tcPr>
            <w:tcW w:w="2149" w:type="dxa"/>
            <w:vMerge w:val="restart"/>
            <w:tcBorders/>
            <w:vAlign w:val="center"/>
          </w:tcPr>
          <w:p>
            <w:pPr>
              <w:pStyle w:val="Normal"/>
              <w:widowControl w:val="false"/>
              <w:tabs>
                <w:tab w:val="clear" w:pos="708"/>
                <w:tab w:val="left" w:pos="1701" w:leader="none"/>
              </w:tabs>
              <w:suppressAutoHyphens w:val="true"/>
              <w:spacing w:lineRule="auto" w:line="276" w:before="0" w:after="0"/>
              <w:jc w:val="both"/>
              <w:rPr>
                <w:rFonts w:eastAsia="ＭＳ 明朝" w:cs="Arial"/>
                <w:color w:val="000000"/>
                <w:kern w:val="0"/>
                <w:sz w:val="20"/>
                <w:szCs w:val="20"/>
                <w:lang w:val="pt-BR" w:eastAsia="en-US" w:bidi="ar-SA"/>
              </w:rPr>
            </w:pPr>
            <w:r>
              <w:rPr>
                <w:rFonts w:eastAsia="ＭＳ 明朝" w:cs="Arial"/>
                <w:color w:val="000000"/>
                <w:kern w:val="0"/>
                <w:sz w:val="20"/>
                <w:szCs w:val="20"/>
                <w:lang w:val="pt-BR" w:eastAsia="en-US" w:bidi="ar-SA"/>
              </w:rPr>
              <w:t>I = (TX)</w:t>
            </w:r>
          </w:p>
        </w:tc>
        <w:tc>
          <w:tcPr>
            <w:tcW w:w="441" w:type="dxa"/>
            <w:vMerge w:val="restart"/>
            <w:tcBorders/>
            <w:vAlign w:val="center"/>
          </w:tcPr>
          <w:p>
            <w:pPr>
              <w:pStyle w:val="Normal"/>
              <w:widowControl w:val="false"/>
              <w:tabs>
                <w:tab w:val="clear" w:pos="708"/>
                <w:tab w:val="left" w:pos="1701" w:leader="none"/>
              </w:tabs>
              <w:suppressAutoHyphens w:val="true"/>
              <w:spacing w:lineRule="auto" w:line="276" w:before="0" w:after="0"/>
              <w:jc w:val="both"/>
              <w:rPr>
                <w:rFonts w:eastAsia="ＭＳ 明朝" w:cs="Arial"/>
                <w:color w:val="000000"/>
                <w:kern w:val="0"/>
                <w:sz w:val="20"/>
                <w:szCs w:val="20"/>
                <w:lang w:val="pt-BR" w:eastAsia="en-US" w:bidi="ar-SA"/>
              </w:rPr>
            </w:pPr>
            <w:r>
              <w:rPr>
                <w:rFonts w:eastAsia="ＭＳ 明朝" w:cs="Arial"/>
                <w:color w:val="000000"/>
                <w:kern w:val="0"/>
                <w:sz w:val="20"/>
                <w:szCs w:val="20"/>
                <w:lang w:val="pt-BR" w:eastAsia="en-US" w:bidi="ar-SA"/>
              </w:rPr>
              <w:t>I =</w:t>
            </w:r>
          </w:p>
        </w:tc>
        <w:tc>
          <w:tcPr>
            <w:tcW w:w="1247" w:type="dxa"/>
            <w:tcBorders>
              <w:bottom w:val="single" w:sz="4" w:space="0" w:color="000000"/>
            </w:tcBorders>
          </w:tcPr>
          <w:p>
            <w:pPr>
              <w:pStyle w:val="Normal"/>
              <w:widowControl w:val="false"/>
              <w:tabs>
                <w:tab w:val="clear" w:pos="708"/>
                <w:tab w:val="left" w:pos="1701" w:leader="none"/>
              </w:tabs>
              <w:suppressAutoHyphens w:val="true"/>
              <w:spacing w:lineRule="auto" w:line="276" w:before="0" w:after="0"/>
              <w:jc w:val="both"/>
              <w:rPr>
                <w:rFonts w:eastAsia="ＭＳ 明朝" w:cs="Arial"/>
                <w:color w:val="000000"/>
                <w:kern w:val="0"/>
                <w:sz w:val="20"/>
                <w:szCs w:val="20"/>
                <w:lang w:val="pt-BR" w:eastAsia="en-US" w:bidi="ar-SA"/>
              </w:rPr>
            </w:pPr>
            <w:r>
              <w:rPr>
                <w:rFonts w:eastAsia="ＭＳ 明朝" w:cs="Arial"/>
                <w:color w:val="000000"/>
                <w:kern w:val="0"/>
                <w:sz w:val="20"/>
                <w:szCs w:val="20"/>
                <w:lang w:val="pt-BR" w:eastAsia="en-US" w:bidi="ar-SA"/>
              </w:rPr>
              <w:t>( 6 / 100 )</w:t>
            </w:r>
          </w:p>
        </w:tc>
        <w:tc>
          <w:tcPr>
            <w:tcW w:w="4809" w:type="dxa"/>
            <w:vMerge w:val="restart"/>
            <w:tcBorders/>
            <w:vAlign w:val="center"/>
          </w:tcPr>
          <w:p>
            <w:pPr>
              <w:pStyle w:val="Normal"/>
              <w:widowControl w:val="false"/>
              <w:tabs>
                <w:tab w:val="clear" w:pos="708"/>
                <w:tab w:val="left" w:pos="1701" w:leader="none"/>
              </w:tabs>
              <w:suppressAutoHyphens w:val="true"/>
              <w:spacing w:lineRule="auto" w:line="276" w:before="0" w:after="0"/>
              <w:ind w:left="742" w:right="0" w:hanging="0"/>
              <w:jc w:val="both"/>
              <w:rPr>
                <w:rFonts w:eastAsia="ＭＳ 明朝" w:cs="Arial"/>
                <w:color w:val="000000"/>
                <w:kern w:val="0"/>
                <w:sz w:val="20"/>
                <w:szCs w:val="20"/>
                <w:lang w:val="pt-BR" w:eastAsia="en-US" w:bidi="ar-SA"/>
              </w:rPr>
            </w:pPr>
            <w:r>
              <w:rPr>
                <w:rFonts w:eastAsia="ＭＳ 明朝" w:cs="Arial"/>
                <w:color w:val="000000"/>
                <w:kern w:val="0"/>
                <w:sz w:val="20"/>
                <w:szCs w:val="20"/>
                <w:lang w:val="pt-BR" w:eastAsia="en-US" w:bidi="ar-SA"/>
              </w:rPr>
              <w:t>I = 0,00016438</w:t>
            </w:r>
          </w:p>
          <w:p>
            <w:pPr>
              <w:pStyle w:val="Normal"/>
              <w:widowControl w:val="false"/>
              <w:tabs>
                <w:tab w:val="clear" w:pos="708"/>
                <w:tab w:val="left" w:pos="1701" w:leader="none"/>
              </w:tabs>
              <w:suppressAutoHyphens w:val="true"/>
              <w:spacing w:lineRule="auto" w:line="276" w:before="0" w:after="0"/>
              <w:ind w:left="742" w:right="0" w:hanging="0"/>
              <w:jc w:val="both"/>
              <w:rPr>
                <w:rFonts w:eastAsia="ＭＳ 明朝" w:cs="Arial"/>
                <w:color w:val="000000"/>
                <w:kern w:val="0"/>
                <w:sz w:val="20"/>
                <w:szCs w:val="20"/>
                <w:lang w:val="pt-BR" w:eastAsia="en-US" w:bidi="ar-SA"/>
              </w:rPr>
            </w:pPr>
            <w:r>
              <w:rPr>
                <w:rFonts w:eastAsia="ＭＳ 明朝" w:cs="Arial"/>
                <w:color w:val="000000"/>
                <w:kern w:val="0"/>
                <w:sz w:val="20"/>
                <w:szCs w:val="20"/>
                <w:lang w:val="pt-BR" w:eastAsia="en-US" w:bidi="ar-SA"/>
              </w:rPr>
              <w:t>TX = Percentual da taxa anual = 6%</w:t>
            </w:r>
          </w:p>
          <w:p>
            <w:pPr>
              <w:pStyle w:val="Normal"/>
              <w:widowControl w:val="false"/>
              <w:tabs>
                <w:tab w:val="clear" w:pos="708"/>
                <w:tab w:val="left" w:pos="1701" w:leader="none"/>
              </w:tabs>
              <w:suppressAutoHyphens w:val="true"/>
              <w:spacing w:lineRule="auto" w:line="276" w:before="0" w:after="0"/>
              <w:ind w:left="742" w:right="0" w:hanging="0"/>
              <w:jc w:val="both"/>
              <w:rPr>
                <w:rFonts w:cs="Arial"/>
                <w:color w:val="000000"/>
                <w:szCs w:val="20"/>
              </w:rPr>
            </w:pPr>
            <w:r>
              <w:rPr>
                <w:rFonts w:cs="Arial"/>
                <w:color w:val="000000"/>
                <w:szCs w:val="20"/>
              </w:rPr>
            </w:r>
          </w:p>
        </w:tc>
      </w:tr>
      <w:tr>
        <w:trPr/>
        <w:tc>
          <w:tcPr>
            <w:tcW w:w="2149" w:type="dxa"/>
            <w:vMerge w:val="continue"/>
            <w:tcBorders/>
            <w:vAlign w:val="center"/>
          </w:tcPr>
          <w:p>
            <w:pPr>
              <w:pStyle w:val="Normal"/>
              <w:rPr/>
            </w:pPr>
            <w:r>
              <w:rPr/>
            </w:r>
          </w:p>
        </w:tc>
        <w:tc>
          <w:tcPr>
            <w:tcW w:w="441" w:type="dxa"/>
            <w:vMerge w:val="continue"/>
            <w:tcBorders/>
            <w:vAlign w:val="center"/>
          </w:tcPr>
          <w:p>
            <w:pPr>
              <w:pStyle w:val="Normal"/>
              <w:rPr/>
            </w:pPr>
            <w:r>
              <w:rPr/>
            </w:r>
          </w:p>
        </w:tc>
        <w:tc>
          <w:tcPr>
            <w:tcW w:w="1247" w:type="dxa"/>
            <w:tcBorders>
              <w:top w:val="single" w:sz="4" w:space="0" w:color="000000"/>
            </w:tcBorders>
          </w:tcPr>
          <w:p>
            <w:pPr>
              <w:pStyle w:val="Normal"/>
              <w:widowControl w:val="false"/>
              <w:tabs>
                <w:tab w:val="clear" w:pos="708"/>
                <w:tab w:val="left" w:pos="1701" w:leader="none"/>
              </w:tabs>
              <w:suppressAutoHyphens w:val="true"/>
              <w:spacing w:lineRule="auto" w:line="276" w:before="0" w:after="0"/>
              <w:jc w:val="both"/>
              <w:rPr>
                <w:rFonts w:eastAsia="ＭＳ 明朝" w:cs="Arial"/>
                <w:color w:val="000000"/>
                <w:kern w:val="0"/>
                <w:sz w:val="20"/>
                <w:szCs w:val="20"/>
                <w:lang w:val="pt-BR" w:eastAsia="en-US" w:bidi="ar-SA"/>
              </w:rPr>
            </w:pPr>
            <w:r>
              <w:rPr>
                <w:rFonts w:eastAsia="ＭＳ 明朝" w:cs="Arial"/>
                <w:color w:val="000000"/>
                <w:kern w:val="0"/>
                <w:sz w:val="20"/>
                <w:szCs w:val="20"/>
                <w:lang w:val="pt-BR" w:eastAsia="en-US" w:bidi="ar-SA"/>
              </w:rPr>
              <w:t>365</w:t>
            </w:r>
          </w:p>
        </w:tc>
        <w:tc>
          <w:tcPr>
            <w:tcW w:w="4809" w:type="dxa"/>
            <w:vMerge w:val="continue"/>
            <w:tcBorders/>
            <w:vAlign w:val="center"/>
          </w:tcPr>
          <w:p>
            <w:pPr>
              <w:pStyle w:val="Normal"/>
              <w:rPr/>
            </w:pPr>
            <w:r>
              <w:rPr/>
            </w:r>
          </w:p>
        </w:tc>
      </w:tr>
    </w:tbl>
    <w:p>
      <w:pPr>
        <w:pStyle w:val="Nivel1"/>
        <w:numPr>
          <w:ilvl w:val="0"/>
          <w:numId w:val="2"/>
        </w:numPr>
        <w:rPr/>
      </w:pPr>
      <w:r>
        <w:rPr/>
        <w:t>REAJUSTE</w:t>
      </w:r>
    </w:p>
    <w:p>
      <w:pPr>
        <w:pStyle w:val="ListParagraph"/>
        <w:numPr>
          <w:ilvl w:val="1"/>
          <w:numId w:val="2"/>
        </w:numPr>
        <w:spacing w:lineRule="auto" w:line="276" w:before="120" w:after="120"/>
        <w:contextualSpacing/>
        <w:jc w:val="both"/>
        <w:rPr>
          <w:rFonts w:cs="Arial"/>
          <w:szCs w:val="20"/>
        </w:rPr>
      </w:pPr>
      <w:r>
        <w:rPr>
          <w:rFonts w:cs="Arial"/>
          <w:szCs w:val="20"/>
        </w:rPr>
        <w:t>Os preços são fixos e irreajustáveis no prazo de um ano contado da data limite para a apresentação das propostas.</w:t>
      </w:r>
    </w:p>
    <w:p>
      <w:pPr>
        <w:pStyle w:val="ListParagraph"/>
        <w:numPr>
          <w:ilvl w:val="1"/>
          <w:numId w:val="2"/>
        </w:numPr>
        <w:spacing w:lineRule="auto" w:line="276" w:before="120" w:after="120"/>
        <w:contextualSpacing/>
        <w:jc w:val="both"/>
        <w:rPr/>
      </w:pPr>
      <w:r>
        <w:rPr>
          <w:rFonts w:cs="Arial"/>
          <w:szCs w:val="20"/>
          <w:shd w:fill="auto" w:val="clear"/>
        </w:rPr>
        <w:t xml:space="preserve">Após o interregno de um ano, e independentemente de pedido da CONTRATADA, os preços iniciais serão reajustados, mediante a aplicação, pela CONTRATANTE, do índice </w:t>
      </w:r>
      <w:r>
        <w:rPr>
          <w:rStyle w:val="Fontepargpadro"/>
          <w:rFonts w:cs="Arial"/>
          <w:i w:val="false"/>
          <w:iCs w:val="false"/>
          <w:color w:val="000000"/>
          <w:szCs w:val="20"/>
          <w:shd w:fill="auto" w:val="clear"/>
        </w:rPr>
        <w:t>IPCA/IBGE</w:t>
      </w:r>
      <w:r>
        <w:rPr>
          <w:rFonts w:cs="Arial"/>
          <w:i w:val="false"/>
          <w:iCs w:val="false"/>
          <w:color w:val="000000"/>
          <w:szCs w:val="20"/>
          <w:shd w:fill="auto" w:val="clear"/>
        </w:rPr>
        <w:t>,</w:t>
      </w:r>
      <w:r>
        <w:rPr>
          <w:rFonts w:cs="Arial"/>
          <w:szCs w:val="20"/>
          <w:shd w:fill="auto" w:val="clear"/>
        </w:rPr>
        <w:t xml:space="preserve"> exclusivamente para as obrigações iniciadas e concluídas após a ocorrência da anualidade, com base na seguinte fórmula (art. 5º do Decreto n.º 1.054, de 1994): </w:t>
      </w:r>
    </w:p>
    <w:p>
      <w:pPr>
        <w:pStyle w:val="Normal"/>
        <w:spacing w:lineRule="auto" w:line="276" w:before="120" w:after="120"/>
        <w:ind w:left="1418" w:right="0" w:hanging="0"/>
        <w:jc w:val="both"/>
        <w:rPr>
          <w:rFonts w:cs="Arial"/>
          <w:szCs w:val="20"/>
          <w:shd w:fill="auto" w:val="clear"/>
        </w:rPr>
      </w:pPr>
      <w:r>
        <w:rPr>
          <w:rFonts w:cs="Arial"/>
          <w:szCs w:val="20"/>
          <w:shd w:fill="auto" w:val="clear"/>
        </w:rPr>
        <w:t>R = V (I – Iº) / Iº, onde:</w:t>
      </w:r>
    </w:p>
    <w:p>
      <w:pPr>
        <w:pStyle w:val="Normal"/>
        <w:spacing w:lineRule="auto" w:line="276" w:before="120" w:after="120"/>
        <w:ind w:left="1418" w:right="0" w:hanging="0"/>
        <w:jc w:val="both"/>
        <w:rPr>
          <w:rFonts w:cs="Arial"/>
          <w:szCs w:val="20"/>
          <w:shd w:fill="auto" w:val="clear"/>
        </w:rPr>
      </w:pPr>
      <w:r>
        <w:rPr>
          <w:rFonts w:cs="Arial"/>
          <w:szCs w:val="20"/>
          <w:shd w:fill="auto" w:val="clear"/>
        </w:rPr>
        <w:t>R = Valor do reajuste procurado;</w:t>
      </w:r>
    </w:p>
    <w:p>
      <w:pPr>
        <w:pStyle w:val="Normal"/>
        <w:spacing w:lineRule="auto" w:line="276" w:before="120" w:after="120"/>
        <w:ind w:left="1418" w:right="0" w:hanging="0"/>
        <w:jc w:val="both"/>
        <w:rPr>
          <w:rFonts w:cs="Arial"/>
          <w:szCs w:val="20"/>
          <w:shd w:fill="auto" w:val="clear"/>
        </w:rPr>
      </w:pPr>
      <w:r>
        <w:rPr>
          <w:rFonts w:cs="Arial"/>
          <w:szCs w:val="20"/>
          <w:shd w:fill="auto" w:val="clear"/>
        </w:rPr>
        <w:t>V = Valor contratual a ser reajustado;</w:t>
      </w:r>
    </w:p>
    <w:p>
      <w:pPr>
        <w:pStyle w:val="Normal"/>
        <w:spacing w:lineRule="auto" w:line="276" w:before="120" w:after="120"/>
        <w:ind w:left="1418" w:right="0" w:hanging="0"/>
        <w:jc w:val="both"/>
        <w:rPr>
          <w:rFonts w:cs="Arial"/>
          <w:szCs w:val="20"/>
          <w:shd w:fill="auto" w:val="clear"/>
        </w:rPr>
      </w:pPr>
      <w:r>
        <w:rPr>
          <w:rFonts w:cs="Arial"/>
          <w:szCs w:val="20"/>
          <w:shd w:fill="auto" w:val="clear"/>
        </w:rPr>
        <w:t>Iº = índice inicial - refere-se ao índice de custos ou de preços correspondente à data fixada para entrega da proposta na licitação;</w:t>
      </w:r>
    </w:p>
    <w:p>
      <w:pPr>
        <w:pStyle w:val="Normal"/>
        <w:spacing w:lineRule="auto" w:line="276" w:before="120" w:after="120"/>
        <w:ind w:left="1418" w:right="0" w:hanging="0"/>
        <w:jc w:val="both"/>
        <w:rPr>
          <w:rFonts w:cs="Arial"/>
          <w:szCs w:val="20"/>
          <w:shd w:fill="auto" w:val="clear"/>
        </w:rPr>
      </w:pPr>
      <w:r>
        <w:rPr>
          <w:rFonts w:cs="Arial"/>
          <w:szCs w:val="20"/>
          <w:shd w:fill="auto" w:val="clear"/>
        </w:rPr>
        <w:t>I = Índice relativo ao mês do reajustamento;</w:t>
      </w:r>
    </w:p>
    <w:p>
      <w:pPr>
        <w:pStyle w:val="Normal"/>
        <w:spacing w:lineRule="auto" w:line="276" w:before="120" w:after="120"/>
        <w:ind w:left="0" w:right="0" w:hanging="0"/>
        <w:jc w:val="both"/>
        <w:rPr>
          <w:rFonts w:cs="Arial"/>
          <w:szCs w:val="20"/>
        </w:rPr>
      </w:pPr>
      <w:r>
        <w:rPr>
          <w:rFonts w:cs="Arial"/>
          <w:szCs w:val="20"/>
        </w:rPr>
      </w:r>
    </w:p>
    <w:p>
      <w:pPr>
        <w:pStyle w:val="Normal"/>
        <w:spacing w:lineRule="auto" w:line="276" w:before="120" w:after="120"/>
        <w:ind w:left="0" w:right="0" w:hanging="0"/>
        <w:jc w:val="both"/>
        <w:rPr>
          <w:rFonts w:cs="Arial"/>
          <w:szCs w:val="20"/>
          <w:shd w:fill="auto" w:val="clear"/>
        </w:rPr>
      </w:pPr>
      <w:r>
        <w:rPr>
          <w:rFonts w:cs="Arial"/>
          <w:szCs w:val="20"/>
          <w:shd w:fill="auto" w:val="clear"/>
        </w:rPr>
        <w:t>19.3.Nos reajustes subsequentes ao primeiro, o interregno mínimo de um ano será contado a partir dos efeitos financeiros do último reajuste.</w:t>
      </w:r>
    </w:p>
    <w:p>
      <w:pPr>
        <w:pStyle w:val="Normal"/>
        <w:spacing w:lineRule="auto" w:line="276" w:before="120" w:after="120"/>
        <w:ind w:left="0" w:right="0" w:hanging="0"/>
        <w:jc w:val="both"/>
        <w:rPr>
          <w:rFonts w:cs="Arial"/>
          <w:szCs w:val="20"/>
          <w:shd w:fill="auto" w:val="clear"/>
        </w:rPr>
      </w:pPr>
      <w:r>
        <w:rPr>
          <w:rFonts w:cs="Arial"/>
          <w:szCs w:val="20"/>
          <w:shd w:fill="auto" w:val="clear"/>
        </w:rPr>
        <w:t xml:space="preserve">19.4. No caso de atraso ou não divulgação do índice de reajustamento, o CONTRATANTE pagará à CONTRATADA a importância calculada pela última variação conhecida, liquidando a diferença correspondente tão logo seja divulgado o índice definitivo. </w:t>
      </w:r>
    </w:p>
    <w:p>
      <w:pPr>
        <w:pStyle w:val="Normal"/>
        <w:spacing w:lineRule="auto" w:line="276" w:before="120" w:after="120"/>
        <w:ind w:left="0" w:right="0" w:hanging="0"/>
        <w:jc w:val="both"/>
        <w:rPr>
          <w:rFonts w:cs="Arial"/>
          <w:szCs w:val="20"/>
          <w:shd w:fill="auto" w:val="clear"/>
        </w:rPr>
      </w:pPr>
      <w:r>
        <w:rPr>
          <w:rFonts w:cs="Arial"/>
          <w:szCs w:val="20"/>
          <w:shd w:fill="auto" w:val="clear"/>
        </w:rPr>
        <w:t>19.5.Nas aferições finais, o índice utilizado para reajuste será, obrigatoriamente, o definitivo.</w:t>
      </w:r>
    </w:p>
    <w:p>
      <w:pPr>
        <w:pStyle w:val="Normal"/>
        <w:spacing w:lineRule="auto" w:line="276" w:before="120" w:after="120"/>
        <w:ind w:left="0" w:right="0" w:hanging="0"/>
        <w:jc w:val="both"/>
        <w:rPr>
          <w:rFonts w:cs="Arial"/>
          <w:szCs w:val="20"/>
          <w:shd w:fill="auto" w:val="clear"/>
        </w:rPr>
      </w:pPr>
      <w:r>
        <w:rPr>
          <w:rFonts w:cs="Arial"/>
          <w:szCs w:val="20"/>
          <w:shd w:fill="auto" w:val="clear"/>
        </w:rPr>
        <w:t>19.6. Caso o índice estabelecido para reajustamento venha a ser extinto ou de qualquer forma não possa mais ser utilizado, será adotado, em substituição, o que vier a ser determinado pela legislação então em vigor.</w:t>
      </w:r>
    </w:p>
    <w:p>
      <w:pPr>
        <w:pStyle w:val="Normal"/>
        <w:spacing w:lineRule="auto" w:line="276" w:before="120" w:after="120"/>
        <w:ind w:left="0" w:right="0" w:hanging="0"/>
        <w:jc w:val="both"/>
        <w:rPr>
          <w:rFonts w:cs="Arial"/>
          <w:szCs w:val="20"/>
          <w:shd w:fill="auto" w:val="clear"/>
        </w:rPr>
      </w:pPr>
      <w:r>
        <w:rPr>
          <w:rFonts w:cs="Arial"/>
          <w:szCs w:val="20"/>
          <w:shd w:fill="auto" w:val="clear"/>
        </w:rPr>
        <w:t xml:space="preserve">19.7.Na ausência de previsão legal quanto ao índice substituto, as partes elegerão novo índice oficial, para reajustamento do preço do valor remanescente, por meio de termo aditivo. </w:t>
      </w:r>
    </w:p>
    <w:p>
      <w:pPr>
        <w:pStyle w:val="Normal"/>
        <w:spacing w:lineRule="auto" w:line="276" w:before="120" w:after="120"/>
        <w:ind w:left="0" w:right="0" w:hanging="0"/>
        <w:jc w:val="both"/>
        <w:rPr>
          <w:rFonts w:cs="Arial"/>
          <w:szCs w:val="20"/>
          <w:shd w:fill="auto" w:val="clear"/>
        </w:rPr>
      </w:pPr>
      <w:r>
        <w:rPr>
          <w:rFonts w:cs="Arial"/>
          <w:szCs w:val="20"/>
          <w:shd w:fill="auto" w:val="clear"/>
        </w:rPr>
        <w:t>19.8. O reajuste será realizado por apostilamento.</w:t>
      </w:r>
    </w:p>
    <w:p>
      <w:pPr>
        <w:pStyle w:val="Normal"/>
        <w:spacing w:lineRule="auto" w:line="276" w:before="120" w:after="120"/>
        <w:ind w:left="0" w:right="0" w:hanging="0"/>
        <w:jc w:val="both"/>
        <w:rPr>
          <w:rFonts w:cs="Arial"/>
          <w:szCs w:val="20"/>
        </w:rPr>
      </w:pPr>
      <w:r>
        <w:rPr>
          <w:rFonts w:cs="Arial"/>
          <w:szCs w:val="20"/>
        </w:rPr>
      </w:r>
    </w:p>
    <w:p>
      <w:pPr>
        <w:pStyle w:val="Nivel1"/>
        <w:numPr>
          <w:ilvl w:val="0"/>
          <w:numId w:val="2"/>
        </w:numPr>
        <w:spacing w:before="480" w:after="240"/>
        <w:rPr>
          <w:rFonts w:cs="Arial"/>
          <w:color w:val="auto"/>
        </w:rPr>
      </w:pPr>
      <w:r>
        <w:rPr>
          <w:rFonts w:cs="Arial"/>
          <w:color w:val="auto"/>
        </w:rPr>
        <w:t>GARANTIA DA EXECUÇÃO</w:t>
      </w:r>
    </w:p>
    <w:p>
      <w:pPr>
        <w:pStyle w:val="ListParagraph"/>
        <w:widowControl w:val="false"/>
        <w:numPr>
          <w:ilvl w:val="1"/>
          <w:numId w:val="2"/>
        </w:numPr>
        <w:tabs>
          <w:tab w:val="clear" w:pos="708"/>
          <w:tab w:val="left" w:pos="855" w:leader="none"/>
          <w:tab w:val="left" w:pos="856" w:leader="none"/>
        </w:tabs>
        <w:spacing w:before="1" w:after="0"/>
        <w:contextualSpacing w:val="false"/>
        <w:rPr/>
      </w:pPr>
      <w:r>
        <w:rPr/>
        <w:t>Não</w:t>
      </w:r>
      <w:r>
        <w:rPr>
          <w:spacing w:val="-10"/>
        </w:rPr>
        <w:t xml:space="preserve"> </w:t>
      </w:r>
      <w:r>
        <w:rPr/>
        <w:t>haverá</w:t>
      </w:r>
      <w:r>
        <w:rPr>
          <w:spacing w:val="-8"/>
        </w:rPr>
        <w:t xml:space="preserve"> </w:t>
      </w:r>
      <w:r>
        <w:rPr/>
        <w:t>exigência</w:t>
      </w:r>
      <w:r>
        <w:rPr>
          <w:spacing w:val="-9"/>
        </w:rPr>
        <w:t xml:space="preserve"> </w:t>
      </w:r>
      <w:r>
        <w:rPr/>
        <w:t>de</w:t>
      </w:r>
      <w:r>
        <w:rPr>
          <w:spacing w:val="-9"/>
        </w:rPr>
        <w:t xml:space="preserve"> </w:t>
      </w:r>
      <w:r>
        <w:rPr/>
        <w:t>garantia</w:t>
      </w:r>
      <w:r>
        <w:rPr>
          <w:spacing w:val="-8"/>
        </w:rPr>
        <w:t xml:space="preserve"> </w:t>
      </w:r>
      <w:r>
        <w:rPr/>
        <w:t>contratual</w:t>
      </w:r>
      <w:r>
        <w:rPr>
          <w:spacing w:val="-10"/>
        </w:rPr>
        <w:t xml:space="preserve"> </w:t>
      </w:r>
      <w:r>
        <w:rPr/>
        <w:t>da</w:t>
      </w:r>
      <w:r>
        <w:rPr>
          <w:spacing w:val="-11"/>
        </w:rPr>
        <w:t xml:space="preserve"> </w:t>
      </w:r>
      <w:r>
        <w:rPr/>
        <w:t>execução,</w:t>
      </w:r>
      <w:r>
        <w:rPr>
          <w:spacing w:val="-10"/>
        </w:rPr>
        <w:t xml:space="preserve"> </w:t>
      </w:r>
      <w:r>
        <w:rPr/>
        <w:t>pelas</w:t>
      </w:r>
      <w:r>
        <w:rPr>
          <w:spacing w:val="-10"/>
        </w:rPr>
        <w:t xml:space="preserve"> </w:t>
      </w:r>
      <w:r>
        <w:rPr/>
        <w:t>razões</w:t>
      </w:r>
      <w:r>
        <w:rPr>
          <w:spacing w:val="-10"/>
        </w:rPr>
        <w:t xml:space="preserve"> </w:t>
      </w:r>
      <w:r>
        <w:rPr/>
        <w:t>abaixo</w:t>
      </w:r>
      <w:r>
        <w:rPr>
          <w:spacing w:val="-9"/>
        </w:rPr>
        <w:t xml:space="preserve"> </w:t>
      </w:r>
      <w:r>
        <w:rPr/>
        <w:t>justificadas:</w:t>
      </w:r>
    </w:p>
    <w:p>
      <w:pPr>
        <w:pStyle w:val="ListParagraph"/>
        <w:widowControl w:val="false"/>
        <w:numPr>
          <w:ilvl w:val="2"/>
          <w:numId w:val="2"/>
        </w:numPr>
        <w:tabs>
          <w:tab w:val="clear" w:pos="708"/>
          <w:tab w:val="left" w:pos="855" w:leader="none"/>
          <w:tab w:val="left" w:pos="856" w:leader="none"/>
        </w:tabs>
        <w:spacing w:before="1" w:after="0"/>
        <w:contextualSpacing w:val="false"/>
        <w:jc w:val="both"/>
        <w:rPr/>
      </w:pPr>
      <w:r>
        <w:rPr/>
        <w:t>A Administração optou por não exigir a garantia tendo que vista que o serviço será prestado de uma única vez em dia, local e horários determinados e ocorrendo inexecução parcial ou total previstas em Edital acarretará em processo administrativo onde será aplicada as sanções cabíveis que no entendimento dessa Administração terá o mesmo efeito da exigência da garantia.</w:t>
      </w:r>
    </w:p>
    <w:p>
      <w:pPr>
        <w:pStyle w:val="Nivel1"/>
        <w:numPr>
          <w:ilvl w:val="0"/>
          <w:numId w:val="2"/>
        </w:numPr>
        <w:rPr>
          <w:rFonts w:cs="Arial"/>
        </w:rPr>
      </w:pPr>
      <w:r>
        <w:rPr>
          <w:rFonts w:cs="Arial"/>
        </w:rPr>
        <w:t>DAS SANÇÕES ADMINISTRATIVAS</w:t>
      </w:r>
    </w:p>
    <w:p>
      <w:pPr>
        <w:pStyle w:val="Normal"/>
        <w:numPr>
          <w:ilvl w:val="1"/>
          <w:numId w:val="2"/>
        </w:numPr>
        <w:spacing w:lineRule="auto" w:line="276" w:before="120" w:after="120"/>
        <w:ind w:left="716" w:right="-30" w:hanging="432"/>
        <w:jc w:val="both"/>
        <w:rPr>
          <w:rFonts w:cs="Arial"/>
          <w:szCs w:val="20"/>
        </w:rPr>
      </w:pPr>
      <w:r>
        <w:rPr>
          <w:rFonts w:cs="Arial"/>
          <w:szCs w:val="20"/>
        </w:rPr>
        <w:t>Comete infração administrativa nos termos da Lei nº 10.520, de 2002, a CONTRATADA que:</w:t>
      </w:r>
    </w:p>
    <w:p>
      <w:pPr>
        <w:pStyle w:val="PargrafodaLista1"/>
        <w:numPr>
          <w:ilvl w:val="2"/>
          <w:numId w:val="2"/>
        </w:numPr>
        <w:spacing w:lineRule="auto" w:line="276" w:before="120" w:after="120"/>
        <w:ind w:left="1781" w:right="-30" w:hanging="504"/>
        <w:jc w:val="both"/>
        <w:rPr>
          <w:rFonts w:ascii="Arial" w:hAnsi="Arial" w:cs="Arial"/>
          <w:sz w:val="20"/>
          <w:szCs w:val="20"/>
        </w:rPr>
      </w:pPr>
      <w:r>
        <w:rPr>
          <w:rFonts w:cs="Arial" w:ascii="Arial" w:hAnsi="Arial"/>
          <w:sz w:val="20"/>
          <w:szCs w:val="20"/>
        </w:rPr>
        <w:t>inexecutar total ou parcialmente qualquer das obrigações assumidas em decorrência da contratação;</w:t>
      </w:r>
    </w:p>
    <w:p>
      <w:pPr>
        <w:pStyle w:val="PargrafodaLista1"/>
        <w:numPr>
          <w:ilvl w:val="2"/>
          <w:numId w:val="2"/>
        </w:numPr>
        <w:spacing w:lineRule="auto" w:line="276" w:before="120" w:after="120"/>
        <w:ind w:left="1781" w:right="-30" w:hanging="504"/>
        <w:jc w:val="both"/>
        <w:rPr>
          <w:rFonts w:ascii="Arial" w:hAnsi="Arial" w:cs="Arial"/>
          <w:sz w:val="20"/>
          <w:szCs w:val="20"/>
        </w:rPr>
      </w:pPr>
      <w:r>
        <w:rPr>
          <w:rFonts w:cs="Arial" w:ascii="Arial" w:hAnsi="Arial"/>
          <w:sz w:val="20"/>
          <w:szCs w:val="20"/>
        </w:rPr>
        <w:t>ensejar o retardamento da execução do objeto;</w:t>
      </w:r>
    </w:p>
    <w:p>
      <w:pPr>
        <w:pStyle w:val="PargrafodaLista1"/>
        <w:numPr>
          <w:ilvl w:val="2"/>
          <w:numId w:val="2"/>
        </w:numPr>
        <w:spacing w:lineRule="auto" w:line="276" w:before="120" w:after="120"/>
        <w:ind w:left="1781" w:right="-30" w:hanging="504"/>
        <w:jc w:val="both"/>
        <w:rPr>
          <w:rFonts w:ascii="Arial" w:hAnsi="Arial" w:cs="Arial"/>
          <w:sz w:val="20"/>
          <w:szCs w:val="20"/>
        </w:rPr>
      </w:pPr>
      <w:r>
        <w:rPr>
          <w:rFonts w:cs="Arial" w:ascii="Arial" w:hAnsi="Arial"/>
          <w:sz w:val="20"/>
          <w:szCs w:val="20"/>
        </w:rPr>
        <w:t>falhar ou fraudar na execução do contrato;</w:t>
      </w:r>
    </w:p>
    <w:p>
      <w:pPr>
        <w:pStyle w:val="PargrafodaLista1"/>
        <w:numPr>
          <w:ilvl w:val="2"/>
          <w:numId w:val="2"/>
        </w:numPr>
        <w:spacing w:lineRule="auto" w:line="276" w:before="120" w:after="120"/>
        <w:ind w:left="1781" w:right="-30" w:hanging="504"/>
        <w:jc w:val="both"/>
        <w:rPr>
          <w:rFonts w:ascii="Arial" w:hAnsi="Arial" w:cs="Arial"/>
          <w:sz w:val="20"/>
          <w:szCs w:val="20"/>
        </w:rPr>
      </w:pPr>
      <w:r>
        <w:rPr>
          <w:rFonts w:cs="Arial" w:ascii="Arial" w:hAnsi="Arial"/>
          <w:sz w:val="20"/>
          <w:szCs w:val="20"/>
        </w:rPr>
        <w:t>comportar-se de modo inidôneo; ou</w:t>
      </w:r>
    </w:p>
    <w:p>
      <w:pPr>
        <w:pStyle w:val="PargrafodaLista1"/>
        <w:numPr>
          <w:ilvl w:val="2"/>
          <w:numId w:val="2"/>
        </w:numPr>
        <w:spacing w:lineRule="auto" w:line="276" w:before="120" w:after="120"/>
        <w:ind w:left="1781" w:right="-30" w:hanging="504"/>
        <w:jc w:val="both"/>
        <w:rPr>
          <w:rFonts w:ascii="Arial" w:hAnsi="Arial" w:cs="Arial"/>
          <w:sz w:val="20"/>
          <w:szCs w:val="20"/>
        </w:rPr>
      </w:pPr>
      <w:r>
        <w:rPr>
          <w:rFonts w:cs="Arial" w:ascii="Arial" w:hAnsi="Arial"/>
          <w:sz w:val="20"/>
          <w:szCs w:val="20"/>
        </w:rPr>
        <w:t>cometer fraude fiscal.</w:t>
      </w:r>
    </w:p>
    <w:p>
      <w:pPr>
        <w:pStyle w:val="Normal"/>
        <w:numPr>
          <w:ilvl w:val="1"/>
          <w:numId w:val="2"/>
        </w:numPr>
        <w:spacing w:lineRule="auto" w:line="276" w:before="120" w:after="120"/>
        <w:ind w:left="716" w:right="-30" w:hanging="432"/>
        <w:jc w:val="both"/>
        <w:rPr/>
      </w:pPr>
      <w:r>
        <w:rPr>
          <w:rFonts w:cs="Arial"/>
          <w:szCs w:val="20"/>
        </w:rPr>
        <w:t xml:space="preserve">Pela inexecução </w:t>
      </w:r>
      <w:r>
        <w:rPr>
          <w:rFonts w:cs="Arial"/>
          <w:szCs w:val="20"/>
          <w:u w:val="single"/>
        </w:rPr>
        <w:t>total ou parcial</w:t>
      </w:r>
      <w:r>
        <w:rPr>
          <w:rFonts w:cs="Arial"/>
          <w:szCs w:val="20"/>
        </w:rPr>
        <w:t xml:space="preserve"> do objeto deste contrato, a Administração pode aplicar à CONTRATADA as seguintes sanções:</w:t>
      </w:r>
    </w:p>
    <w:p>
      <w:pPr>
        <w:pStyle w:val="PargrafodaLista1"/>
        <w:numPr>
          <w:ilvl w:val="2"/>
          <w:numId w:val="2"/>
        </w:numPr>
        <w:spacing w:lineRule="auto" w:line="276" w:before="120" w:after="120"/>
        <w:ind w:left="1781" w:right="-30" w:hanging="504"/>
        <w:jc w:val="both"/>
        <w:rPr/>
      </w:pPr>
      <w:r>
        <w:rPr>
          <w:rFonts w:cs="Arial" w:ascii="Arial" w:hAnsi="Arial"/>
          <w:b/>
          <w:bCs/>
          <w:sz w:val="20"/>
          <w:szCs w:val="20"/>
        </w:rPr>
        <w:t>Advertência por escrito</w:t>
      </w:r>
      <w:r>
        <w:rPr>
          <w:rFonts w:cs="Arial" w:ascii="Arial" w:hAnsi="Arial"/>
          <w:sz w:val="20"/>
          <w:szCs w:val="20"/>
        </w:rPr>
        <w:t>, quando do não cumprimento de quaisquer das obrigações contratuais consideradas faltas leves, assim entendidas aquelas que não acarretam prejuízos significativos para o serviço contratado;</w:t>
      </w:r>
    </w:p>
    <w:p>
      <w:pPr>
        <w:pStyle w:val="PargrafodaLista1"/>
        <w:numPr>
          <w:ilvl w:val="2"/>
          <w:numId w:val="2"/>
        </w:numPr>
        <w:spacing w:lineRule="auto" w:line="276" w:before="120" w:after="120"/>
        <w:ind w:left="1781" w:right="-30" w:hanging="504"/>
        <w:jc w:val="both"/>
        <w:rPr/>
      </w:pPr>
      <w:r>
        <w:rPr>
          <w:rFonts w:cs="Arial" w:ascii="Arial" w:hAnsi="Arial"/>
          <w:b/>
          <w:bCs/>
          <w:sz w:val="20"/>
          <w:szCs w:val="20"/>
        </w:rPr>
        <w:t>Multa de</w:t>
      </w:r>
      <w:r>
        <w:rPr>
          <w:rFonts w:cs="Arial" w:ascii="Arial" w:hAnsi="Arial"/>
          <w:sz w:val="20"/>
          <w:szCs w:val="20"/>
        </w:rPr>
        <w:t xml:space="preserve">: </w:t>
      </w:r>
    </w:p>
    <w:p>
      <w:pPr>
        <w:pStyle w:val="PargrafodaLista1"/>
        <w:numPr>
          <w:ilvl w:val="3"/>
          <w:numId w:val="2"/>
        </w:numPr>
        <w:spacing w:lineRule="auto" w:line="276" w:before="120" w:after="120"/>
        <w:ind w:left="2491" w:right="-30" w:hanging="648"/>
        <w:jc w:val="both"/>
        <w:rPr>
          <w:rFonts w:ascii="Arial" w:hAnsi="Arial" w:cs="Arial"/>
          <w:sz w:val="20"/>
          <w:szCs w:val="20"/>
        </w:rPr>
      </w:pPr>
      <w:r>
        <w:rPr>
          <w:rFonts w:cs="Arial" w:ascii="Arial" w:hAnsi="Arial"/>
          <w:sz w:val="20"/>
          <w:szCs w:val="20"/>
        </w:rPr>
        <w:t xml:space="preserve">0,1% (um décimo por cento) até 0,2% (dois décimos por cento) por dia sobre o valor adjudicado em caso de atraso na execução dos serviços, limitada a incidência a 15 (quinze) dias. Após o décimo quinto dia e a critério da Administração, no caso de execução com atraso, poderá ocorrer a não-aceitação do objeto, de forma a configurar, nessa hipótese, inexecução total da obrigação assumida, sem prejuízo da rescisão unilateral da avença; </w:t>
      </w:r>
    </w:p>
    <w:p>
      <w:pPr>
        <w:pStyle w:val="PargrafodaLista1"/>
        <w:numPr>
          <w:ilvl w:val="3"/>
          <w:numId w:val="2"/>
        </w:numPr>
        <w:spacing w:lineRule="auto" w:line="276" w:before="120" w:after="120"/>
        <w:ind w:left="2491" w:right="-30" w:hanging="648"/>
        <w:jc w:val="both"/>
        <w:rPr/>
      </w:pPr>
      <w:r>
        <w:rPr>
          <w:rFonts w:cs="Arial" w:ascii="Arial" w:hAnsi="Arial"/>
          <w:sz w:val="20"/>
          <w:szCs w:val="20"/>
        </w:rPr>
        <w:t xml:space="preserve">0,1% (um décimo por cento) até 10% (dez por cento) sobre o valor adjudicado, em caso de atraso na execução do objeto, por período superior ao previsto no </w:t>
      </w:r>
      <w:r>
        <w:rPr>
          <w:rFonts w:cs="Arial" w:ascii="Arial" w:hAnsi="Arial"/>
          <w:bCs/>
          <w:color w:val="000000"/>
          <w:sz w:val="20"/>
          <w:szCs w:val="20"/>
        </w:rPr>
        <w:t>subitem acima,</w:t>
      </w:r>
      <w:r>
        <w:rPr>
          <w:rFonts w:cs="Arial" w:ascii="Arial" w:hAnsi="Arial"/>
          <w:sz w:val="20"/>
          <w:szCs w:val="20"/>
        </w:rPr>
        <w:t xml:space="preserve"> ou de inexecução parcial da obrigação assumida;</w:t>
      </w:r>
    </w:p>
    <w:p>
      <w:pPr>
        <w:pStyle w:val="PargrafodaLista1"/>
        <w:numPr>
          <w:ilvl w:val="3"/>
          <w:numId w:val="2"/>
        </w:numPr>
        <w:spacing w:lineRule="auto" w:line="276" w:before="120" w:after="120"/>
        <w:ind w:left="2491" w:right="-30" w:hanging="648"/>
        <w:jc w:val="both"/>
        <w:rPr>
          <w:rFonts w:ascii="Arial" w:hAnsi="Arial" w:cs="Arial"/>
          <w:sz w:val="20"/>
          <w:szCs w:val="20"/>
        </w:rPr>
      </w:pPr>
      <w:r>
        <w:rPr>
          <w:rFonts w:cs="Arial" w:ascii="Arial" w:hAnsi="Arial"/>
          <w:sz w:val="20"/>
          <w:szCs w:val="20"/>
        </w:rPr>
        <w:t>0,1% (um décimo por cento) até 15% (quinze por cento) sobre o valor adjudicado, em caso de inexecução total da obrigação assumida;</w:t>
      </w:r>
    </w:p>
    <w:p>
      <w:pPr>
        <w:pStyle w:val="PargrafodaLista1"/>
        <w:numPr>
          <w:ilvl w:val="3"/>
          <w:numId w:val="2"/>
        </w:numPr>
        <w:spacing w:lineRule="auto" w:line="276" w:before="120" w:after="120"/>
        <w:ind w:left="2491" w:right="-30" w:hanging="648"/>
        <w:jc w:val="both"/>
        <w:rPr/>
      </w:pPr>
      <w:r>
        <w:rPr>
          <w:rFonts w:cs="Arial" w:ascii="Arial" w:hAnsi="Arial"/>
          <w:sz w:val="20"/>
          <w:szCs w:val="20"/>
        </w:rPr>
        <w:t xml:space="preserve">0,2% a 3,2% por dia sobre o valor mensal do contrato, conforme detalhamento constante das </w:t>
      </w:r>
      <w:r>
        <w:rPr>
          <w:rFonts w:cs="Arial" w:ascii="Arial" w:hAnsi="Arial"/>
          <w:b/>
          <w:bCs/>
          <w:sz w:val="20"/>
          <w:szCs w:val="20"/>
        </w:rPr>
        <w:t>tabelas 1 e 2</w:t>
      </w:r>
      <w:r>
        <w:rPr>
          <w:rFonts w:cs="Arial" w:ascii="Arial" w:hAnsi="Arial"/>
          <w:sz w:val="20"/>
          <w:szCs w:val="20"/>
        </w:rPr>
        <w:t>, abaixo; e</w:t>
      </w:r>
    </w:p>
    <w:p>
      <w:pPr>
        <w:pStyle w:val="PargrafodaLista1"/>
        <w:numPr>
          <w:ilvl w:val="3"/>
          <w:numId w:val="2"/>
        </w:numPr>
        <w:spacing w:lineRule="auto" w:line="276" w:before="120" w:after="120"/>
        <w:ind w:left="2491" w:right="-30" w:hanging="648"/>
        <w:jc w:val="both"/>
        <w:rPr>
          <w:rFonts w:ascii="Arial" w:hAnsi="Arial" w:cs="Arial"/>
          <w:sz w:val="20"/>
          <w:szCs w:val="20"/>
        </w:rPr>
      </w:pPr>
      <w:r>
        <w:rPr>
          <w:rFonts w:cs="Arial" w:ascii="Arial" w:hAnsi="Arial"/>
          <w:sz w:val="20"/>
          <w:szCs w:val="20"/>
        </w:rPr>
        <w:t>0,07% (sete centésimos por cento) do valor do contrato por dia de atraso na apresentação da garantia (seja para reforço ou por ocasião de prorrogação), observado o máximo de 2% (dois por cento). O atraso superior a 25 (vinte e cinco) dias autorizará a Administração CONTRATANTE a promover a rescisão do contrato;</w:t>
      </w:r>
    </w:p>
    <w:p>
      <w:pPr>
        <w:pStyle w:val="PargrafodaLista1"/>
        <w:numPr>
          <w:ilvl w:val="3"/>
          <w:numId w:val="2"/>
        </w:numPr>
        <w:spacing w:lineRule="auto" w:line="276" w:before="120" w:after="120"/>
        <w:ind w:left="2491" w:right="-30" w:hanging="648"/>
        <w:jc w:val="both"/>
        <w:rPr>
          <w:rFonts w:ascii="Arial" w:hAnsi="Arial" w:cs="Arial"/>
          <w:sz w:val="20"/>
          <w:szCs w:val="20"/>
        </w:rPr>
      </w:pPr>
      <w:r>
        <w:rPr>
          <w:rFonts w:cs="Arial" w:ascii="Arial" w:hAnsi="Arial"/>
          <w:sz w:val="20"/>
          <w:szCs w:val="20"/>
        </w:rPr>
        <w:t>as penalidades de multa decorrentes de fatos diversos serão consideradas independentes entre si.</w:t>
      </w:r>
    </w:p>
    <w:p>
      <w:pPr>
        <w:pStyle w:val="PargrafodaLista1"/>
        <w:numPr>
          <w:ilvl w:val="2"/>
          <w:numId w:val="2"/>
        </w:numPr>
        <w:spacing w:lineRule="auto" w:line="276" w:before="120" w:after="120"/>
        <w:ind w:left="1781" w:right="-30" w:hanging="504"/>
        <w:jc w:val="both"/>
        <w:rPr>
          <w:rFonts w:ascii="Arial" w:hAnsi="Arial" w:cs="Arial"/>
          <w:sz w:val="20"/>
          <w:szCs w:val="20"/>
        </w:rPr>
      </w:pPr>
      <w:r>
        <w:rPr>
          <w:rFonts w:cs="Arial" w:ascii="Arial" w:hAnsi="Arial"/>
          <w:sz w:val="20"/>
          <w:szCs w:val="20"/>
        </w:rPr>
        <w:t>Suspensão de licitar e impedimento de contratar com o órgão, entidade ou unidade administrativa pela qual a Administração Pública opera e atua concretamente, pelo prazo de até dois anos;</w:t>
      </w:r>
    </w:p>
    <w:p>
      <w:pPr>
        <w:pStyle w:val="PargrafodaLista1"/>
        <w:numPr>
          <w:ilvl w:val="2"/>
          <w:numId w:val="2"/>
        </w:numPr>
        <w:spacing w:lineRule="auto" w:line="276" w:before="120" w:after="120"/>
        <w:ind w:left="1781" w:right="-30" w:hanging="504"/>
        <w:jc w:val="both"/>
        <w:rPr>
          <w:rFonts w:ascii="Arial" w:hAnsi="Arial" w:cs="Arial"/>
          <w:sz w:val="20"/>
          <w:szCs w:val="20"/>
        </w:rPr>
      </w:pPr>
      <w:r>
        <w:rPr>
          <w:rFonts w:cs="Arial" w:ascii="Arial" w:hAnsi="Arial"/>
          <w:sz w:val="20"/>
          <w:szCs w:val="20"/>
        </w:rPr>
        <w:t>Sanção de impedimento de licitar e contratar com órgãos e entidades da União, com o consequente descredenciamento no SICAF pelo prazo de até cinco anos.</w:t>
      </w:r>
    </w:p>
    <w:p>
      <w:pPr>
        <w:pStyle w:val="PargrafodaLista1"/>
        <w:numPr>
          <w:ilvl w:val="3"/>
          <w:numId w:val="2"/>
        </w:numPr>
        <w:spacing w:lineRule="auto" w:line="276" w:before="120" w:after="120"/>
        <w:ind w:left="2491" w:right="-30" w:hanging="648"/>
        <w:jc w:val="both"/>
        <w:rPr>
          <w:rFonts w:ascii="Arial" w:hAnsi="Arial" w:cs="Arial"/>
          <w:sz w:val="20"/>
          <w:szCs w:val="20"/>
        </w:rPr>
      </w:pPr>
      <w:r>
        <w:rPr>
          <w:rFonts w:cs="Arial" w:ascii="Arial" w:hAnsi="Arial"/>
          <w:sz w:val="20"/>
          <w:szCs w:val="20"/>
        </w:rPr>
        <w:t>A Sanção de impedimento de licitar e contratar prevista neste subitem também é aplicável em quaisquer das hipóteses previstas como infração administrativa no subitem 19.1 deste Termo de Referência.</w:t>
      </w:r>
    </w:p>
    <w:p>
      <w:pPr>
        <w:pStyle w:val="PargrafodaLista1"/>
        <w:numPr>
          <w:ilvl w:val="2"/>
          <w:numId w:val="2"/>
        </w:numPr>
        <w:spacing w:lineRule="auto" w:line="276" w:before="120" w:after="120"/>
        <w:ind w:left="1781" w:right="-30" w:hanging="504"/>
        <w:jc w:val="both"/>
        <w:rPr>
          <w:rFonts w:ascii="Arial" w:hAnsi="Arial" w:cs="Arial"/>
          <w:sz w:val="20"/>
          <w:szCs w:val="20"/>
        </w:rPr>
      </w:pPr>
      <w:r>
        <w:rPr>
          <w:rFonts w:cs="Arial" w:ascii="Arial" w:hAnsi="Arial"/>
          <w:sz w:val="20"/>
          <w:szCs w:val="20"/>
        </w:rPr>
        <w:t xml:space="preserve">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 </w:t>
      </w:r>
    </w:p>
    <w:p>
      <w:pPr>
        <w:pStyle w:val="Normal"/>
        <w:numPr>
          <w:ilvl w:val="1"/>
          <w:numId w:val="2"/>
        </w:numPr>
        <w:spacing w:lineRule="auto" w:line="276" w:before="120" w:after="120"/>
        <w:ind w:left="716" w:right="-30" w:hanging="432"/>
        <w:jc w:val="both"/>
        <w:rPr>
          <w:rFonts w:cs="Arial"/>
          <w:szCs w:val="20"/>
        </w:rPr>
      </w:pPr>
      <w:r>
        <w:rPr>
          <w:rFonts w:cs="Arial"/>
          <w:szCs w:val="20"/>
        </w:rPr>
        <w:t>As sanções previstas nos subitens 19.2.1, 19.2.3, 19.2.4 e 19.2.5 poderão ser aplicadas à CONTRATADA juntamente com as de multa, descontando-a dos pagamentos a serem efetuados.</w:t>
      </w:r>
    </w:p>
    <w:p>
      <w:pPr>
        <w:pStyle w:val="Normal"/>
        <w:numPr>
          <w:ilvl w:val="1"/>
          <w:numId w:val="2"/>
        </w:numPr>
        <w:spacing w:lineRule="auto" w:line="276" w:before="120" w:after="120"/>
        <w:ind w:left="716" w:right="-30" w:hanging="432"/>
        <w:jc w:val="both"/>
        <w:rPr>
          <w:rFonts w:cs="Arial"/>
          <w:szCs w:val="20"/>
        </w:rPr>
      </w:pPr>
      <w:r>
        <w:rPr>
          <w:rFonts w:cs="Arial"/>
          <w:szCs w:val="20"/>
        </w:rPr>
        <w:t>Para efeito de aplicação de multas, às infrações são atribuídos graus, de acordo com as tabelas 1 e 2:</w:t>
      </w:r>
    </w:p>
    <w:p>
      <w:pPr>
        <w:pStyle w:val="Normal"/>
        <w:spacing w:lineRule="auto" w:line="276" w:before="120" w:after="120"/>
        <w:ind w:left="0" w:right="-30" w:hanging="0"/>
        <w:jc w:val="center"/>
        <w:rPr>
          <w:rFonts w:cs="Arial"/>
          <w:b/>
          <w:b/>
          <w:bCs/>
          <w:szCs w:val="20"/>
        </w:rPr>
      </w:pPr>
      <w:r>
        <w:rPr>
          <w:rFonts w:cs="Arial"/>
          <w:b/>
          <w:bCs/>
          <w:szCs w:val="20"/>
        </w:rPr>
        <w:t>Tabela 1</w:t>
      </w:r>
    </w:p>
    <w:tbl>
      <w:tblPr>
        <w:tblW w:w="9180" w:type="dxa"/>
        <w:jc w:val="left"/>
        <w:tblInd w:w="0" w:type="dxa"/>
        <w:tblLayout w:type="fixed"/>
        <w:tblCellMar>
          <w:top w:w="75" w:type="dxa"/>
          <w:left w:w="75" w:type="dxa"/>
          <w:bottom w:w="75" w:type="dxa"/>
          <w:right w:w="75" w:type="dxa"/>
        </w:tblCellMar>
      </w:tblPr>
      <w:tblGrid>
        <w:gridCol w:w="3575"/>
        <w:gridCol w:w="5605"/>
      </w:tblGrid>
      <w:tr>
        <w:trPr>
          <w:trHeight w:val="180" w:hRule="atLeast"/>
        </w:trPr>
        <w:tc>
          <w:tcPr>
            <w:tcW w:w="3575" w:type="dxa"/>
            <w:tcBorders>
              <w:top w:val="outset" w:sz="6" w:space="0" w:color="000000"/>
              <w:left w:val="outset" w:sz="6" w:space="0" w:color="000000"/>
              <w:bottom w:val="outset" w:sz="6" w:space="0" w:color="000000"/>
              <w:right w:val="outset" w:sz="6" w:space="0" w:color="000000"/>
            </w:tcBorders>
            <w:vAlign w:val="center"/>
          </w:tcPr>
          <w:p>
            <w:pPr>
              <w:pStyle w:val="Normal"/>
              <w:widowControl w:val="false"/>
              <w:spacing w:lineRule="auto" w:line="276" w:before="120" w:after="120"/>
              <w:ind w:left="0" w:right="-30" w:hanging="0"/>
              <w:jc w:val="center"/>
              <w:rPr>
                <w:rFonts w:cs="Arial"/>
                <w:b/>
                <w:b/>
                <w:bCs/>
                <w:szCs w:val="20"/>
              </w:rPr>
            </w:pPr>
            <w:r>
              <w:rPr>
                <w:rFonts w:cs="Arial"/>
                <w:b/>
                <w:bCs/>
                <w:szCs w:val="20"/>
              </w:rPr>
              <w:t>GRAU</w:t>
            </w:r>
          </w:p>
        </w:tc>
        <w:tc>
          <w:tcPr>
            <w:tcW w:w="5605" w:type="dxa"/>
            <w:tcBorders>
              <w:top w:val="outset" w:sz="6" w:space="0" w:color="000000"/>
              <w:left w:val="outset" w:sz="6" w:space="0" w:color="000000"/>
              <w:bottom w:val="outset" w:sz="6" w:space="0" w:color="000000"/>
              <w:right w:val="outset" w:sz="6" w:space="0" w:color="000000"/>
            </w:tcBorders>
            <w:vAlign w:val="center"/>
          </w:tcPr>
          <w:p>
            <w:pPr>
              <w:pStyle w:val="Normal"/>
              <w:widowControl w:val="false"/>
              <w:spacing w:lineRule="auto" w:line="276" w:before="120" w:after="120"/>
              <w:ind w:left="0" w:right="-30" w:hanging="0"/>
              <w:jc w:val="center"/>
              <w:rPr>
                <w:rFonts w:cs="Arial"/>
                <w:b/>
                <w:b/>
                <w:bCs/>
                <w:szCs w:val="20"/>
              </w:rPr>
            </w:pPr>
            <w:r>
              <w:rPr>
                <w:rFonts w:cs="Arial"/>
                <w:b/>
                <w:bCs/>
                <w:szCs w:val="20"/>
              </w:rPr>
              <w:t>CORRESPONDÊNCIA</w:t>
            </w:r>
          </w:p>
        </w:tc>
      </w:tr>
      <w:tr>
        <w:trPr/>
        <w:tc>
          <w:tcPr>
            <w:tcW w:w="3575" w:type="dxa"/>
            <w:tcBorders>
              <w:top w:val="outset" w:sz="6" w:space="0" w:color="000000"/>
              <w:left w:val="outset" w:sz="6" w:space="0" w:color="000000"/>
              <w:bottom w:val="outset" w:sz="6" w:space="0" w:color="000000"/>
              <w:right w:val="outset" w:sz="6" w:space="0" w:color="000000"/>
            </w:tcBorders>
          </w:tcPr>
          <w:p>
            <w:pPr>
              <w:pStyle w:val="Normal"/>
              <w:widowControl w:val="false"/>
              <w:spacing w:lineRule="auto" w:line="276" w:before="120" w:after="120"/>
              <w:ind w:left="0" w:right="-30" w:hanging="0"/>
              <w:jc w:val="center"/>
              <w:rPr>
                <w:rFonts w:cs="Arial"/>
                <w:szCs w:val="20"/>
              </w:rPr>
            </w:pPr>
            <w:r>
              <w:rPr>
                <w:rFonts w:cs="Arial"/>
                <w:szCs w:val="20"/>
              </w:rPr>
              <w:t>1</w:t>
            </w:r>
          </w:p>
        </w:tc>
        <w:tc>
          <w:tcPr>
            <w:tcW w:w="5605" w:type="dxa"/>
            <w:tcBorders>
              <w:top w:val="outset" w:sz="6" w:space="0" w:color="000000"/>
              <w:left w:val="outset" w:sz="6" w:space="0" w:color="000000"/>
              <w:bottom w:val="outset" w:sz="6" w:space="0" w:color="000000"/>
              <w:right w:val="outset" w:sz="6" w:space="0" w:color="000000"/>
            </w:tcBorders>
          </w:tcPr>
          <w:p>
            <w:pPr>
              <w:pStyle w:val="Normal"/>
              <w:widowControl w:val="false"/>
              <w:spacing w:lineRule="auto" w:line="276" w:before="120" w:after="120"/>
              <w:ind w:left="0" w:right="-30" w:hanging="0"/>
              <w:jc w:val="center"/>
              <w:rPr>
                <w:rFonts w:cs="Arial"/>
                <w:szCs w:val="20"/>
              </w:rPr>
            </w:pPr>
            <w:r>
              <w:rPr>
                <w:rFonts w:cs="Arial"/>
                <w:szCs w:val="20"/>
              </w:rPr>
              <w:t>0,2% ao dia sobre o valor mensal do contrato</w:t>
            </w:r>
          </w:p>
        </w:tc>
      </w:tr>
      <w:tr>
        <w:trPr/>
        <w:tc>
          <w:tcPr>
            <w:tcW w:w="3575" w:type="dxa"/>
            <w:tcBorders>
              <w:top w:val="outset" w:sz="6" w:space="0" w:color="000000"/>
              <w:left w:val="outset" w:sz="6" w:space="0" w:color="000000"/>
              <w:bottom w:val="outset" w:sz="6" w:space="0" w:color="000000"/>
              <w:right w:val="outset" w:sz="6" w:space="0" w:color="000000"/>
            </w:tcBorders>
          </w:tcPr>
          <w:p>
            <w:pPr>
              <w:pStyle w:val="Normal"/>
              <w:widowControl w:val="false"/>
              <w:spacing w:lineRule="auto" w:line="276" w:before="120" w:after="120"/>
              <w:ind w:left="0" w:right="-30" w:hanging="0"/>
              <w:jc w:val="center"/>
              <w:rPr>
                <w:rFonts w:cs="Arial"/>
                <w:szCs w:val="20"/>
              </w:rPr>
            </w:pPr>
            <w:r>
              <w:rPr>
                <w:rFonts w:cs="Arial"/>
                <w:szCs w:val="20"/>
              </w:rPr>
              <w:t>2</w:t>
            </w:r>
          </w:p>
        </w:tc>
        <w:tc>
          <w:tcPr>
            <w:tcW w:w="5605" w:type="dxa"/>
            <w:tcBorders>
              <w:top w:val="outset" w:sz="6" w:space="0" w:color="000000"/>
              <w:left w:val="outset" w:sz="6" w:space="0" w:color="000000"/>
              <w:bottom w:val="outset" w:sz="6" w:space="0" w:color="000000"/>
              <w:right w:val="outset" w:sz="6" w:space="0" w:color="000000"/>
            </w:tcBorders>
          </w:tcPr>
          <w:p>
            <w:pPr>
              <w:pStyle w:val="Normal"/>
              <w:widowControl w:val="false"/>
              <w:spacing w:lineRule="auto" w:line="276" w:before="120" w:after="120"/>
              <w:ind w:left="0" w:right="-30" w:hanging="0"/>
              <w:jc w:val="center"/>
              <w:rPr>
                <w:rFonts w:cs="Arial"/>
                <w:szCs w:val="20"/>
              </w:rPr>
            </w:pPr>
            <w:r>
              <w:rPr>
                <w:rFonts w:cs="Arial"/>
                <w:szCs w:val="20"/>
              </w:rPr>
              <w:t>0,4% ao dia sobre o valor mensal do contrato</w:t>
            </w:r>
          </w:p>
        </w:tc>
      </w:tr>
      <w:tr>
        <w:trPr/>
        <w:tc>
          <w:tcPr>
            <w:tcW w:w="3575" w:type="dxa"/>
            <w:tcBorders>
              <w:top w:val="outset" w:sz="6" w:space="0" w:color="000000"/>
              <w:left w:val="outset" w:sz="6" w:space="0" w:color="000000"/>
              <w:bottom w:val="outset" w:sz="6" w:space="0" w:color="000000"/>
              <w:right w:val="outset" w:sz="6" w:space="0" w:color="000000"/>
            </w:tcBorders>
          </w:tcPr>
          <w:p>
            <w:pPr>
              <w:pStyle w:val="Normal"/>
              <w:widowControl w:val="false"/>
              <w:spacing w:lineRule="auto" w:line="276" w:before="120" w:after="120"/>
              <w:ind w:left="0" w:right="-30" w:hanging="0"/>
              <w:jc w:val="center"/>
              <w:rPr>
                <w:rFonts w:cs="Arial"/>
                <w:szCs w:val="20"/>
              </w:rPr>
            </w:pPr>
            <w:r>
              <w:rPr>
                <w:rFonts w:cs="Arial"/>
                <w:szCs w:val="20"/>
              </w:rPr>
              <w:t>3</w:t>
            </w:r>
          </w:p>
        </w:tc>
        <w:tc>
          <w:tcPr>
            <w:tcW w:w="5605" w:type="dxa"/>
            <w:tcBorders>
              <w:top w:val="outset" w:sz="6" w:space="0" w:color="000000"/>
              <w:left w:val="outset" w:sz="6" w:space="0" w:color="000000"/>
              <w:bottom w:val="outset" w:sz="6" w:space="0" w:color="000000"/>
              <w:right w:val="outset" w:sz="6" w:space="0" w:color="000000"/>
            </w:tcBorders>
          </w:tcPr>
          <w:p>
            <w:pPr>
              <w:pStyle w:val="Normal"/>
              <w:widowControl w:val="false"/>
              <w:spacing w:lineRule="auto" w:line="276" w:before="120" w:after="120"/>
              <w:ind w:left="0" w:right="-30" w:hanging="0"/>
              <w:jc w:val="center"/>
              <w:rPr>
                <w:rFonts w:cs="Arial"/>
                <w:szCs w:val="20"/>
              </w:rPr>
            </w:pPr>
            <w:r>
              <w:rPr>
                <w:rFonts w:cs="Arial"/>
                <w:szCs w:val="20"/>
              </w:rPr>
              <w:t>0,8% ao dia sobre o valor mensal do contrato</w:t>
            </w:r>
          </w:p>
        </w:tc>
      </w:tr>
      <w:tr>
        <w:trPr/>
        <w:tc>
          <w:tcPr>
            <w:tcW w:w="3575" w:type="dxa"/>
            <w:tcBorders>
              <w:top w:val="outset" w:sz="6" w:space="0" w:color="000000"/>
              <w:left w:val="outset" w:sz="6" w:space="0" w:color="000000"/>
              <w:bottom w:val="outset" w:sz="6" w:space="0" w:color="000000"/>
              <w:right w:val="outset" w:sz="6" w:space="0" w:color="000000"/>
            </w:tcBorders>
          </w:tcPr>
          <w:p>
            <w:pPr>
              <w:pStyle w:val="Normal"/>
              <w:widowControl w:val="false"/>
              <w:spacing w:lineRule="auto" w:line="276" w:before="120" w:after="120"/>
              <w:ind w:left="0" w:right="-30" w:hanging="0"/>
              <w:jc w:val="center"/>
              <w:rPr>
                <w:rFonts w:cs="Arial"/>
                <w:szCs w:val="20"/>
              </w:rPr>
            </w:pPr>
            <w:r>
              <w:rPr>
                <w:rFonts w:cs="Arial"/>
                <w:szCs w:val="20"/>
              </w:rPr>
              <w:t>4</w:t>
            </w:r>
          </w:p>
        </w:tc>
        <w:tc>
          <w:tcPr>
            <w:tcW w:w="5605" w:type="dxa"/>
            <w:tcBorders>
              <w:top w:val="outset" w:sz="6" w:space="0" w:color="000000"/>
              <w:left w:val="outset" w:sz="6" w:space="0" w:color="000000"/>
              <w:bottom w:val="outset" w:sz="6" w:space="0" w:color="000000"/>
              <w:right w:val="outset" w:sz="6" w:space="0" w:color="000000"/>
            </w:tcBorders>
          </w:tcPr>
          <w:p>
            <w:pPr>
              <w:pStyle w:val="Normal"/>
              <w:widowControl w:val="false"/>
              <w:spacing w:lineRule="auto" w:line="276" w:before="120" w:after="120"/>
              <w:ind w:left="0" w:right="-30" w:hanging="0"/>
              <w:jc w:val="center"/>
              <w:rPr>
                <w:rFonts w:cs="Arial"/>
                <w:szCs w:val="20"/>
              </w:rPr>
            </w:pPr>
            <w:r>
              <w:rPr>
                <w:rFonts w:cs="Arial"/>
                <w:szCs w:val="20"/>
              </w:rPr>
              <w:t>1,6% ao dia sobre o valor mensal do contrato</w:t>
            </w:r>
          </w:p>
        </w:tc>
      </w:tr>
      <w:tr>
        <w:trPr/>
        <w:tc>
          <w:tcPr>
            <w:tcW w:w="3575" w:type="dxa"/>
            <w:tcBorders>
              <w:top w:val="outset" w:sz="6" w:space="0" w:color="000000"/>
              <w:left w:val="outset" w:sz="6" w:space="0" w:color="000000"/>
              <w:bottom w:val="outset" w:sz="6" w:space="0" w:color="000000"/>
              <w:right w:val="outset" w:sz="6" w:space="0" w:color="000000"/>
            </w:tcBorders>
          </w:tcPr>
          <w:p>
            <w:pPr>
              <w:pStyle w:val="Normal"/>
              <w:widowControl w:val="false"/>
              <w:spacing w:lineRule="auto" w:line="276" w:before="120" w:after="120"/>
              <w:ind w:left="0" w:right="-30" w:hanging="0"/>
              <w:jc w:val="center"/>
              <w:rPr>
                <w:rFonts w:cs="Arial"/>
                <w:szCs w:val="20"/>
              </w:rPr>
            </w:pPr>
            <w:r>
              <w:rPr>
                <w:rFonts w:cs="Arial"/>
                <w:szCs w:val="20"/>
              </w:rPr>
              <w:t>5</w:t>
            </w:r>
          </w:p>
        </w:tc>
        <w:tc>
          <w:tcPr>
            <w:tcW w:w="5605" w:type="dxa"/>
            <w:tcBorders>
              <w:top w:val="outset" w:sz="6" w:space="0" w:color="000000"/>
              <w:left w:val="outset" w:sz="6" w:space="0" w:color="000000"/>
              <w:bottom w:val="outset" w:sz="6" w:space="0" w:color="000000"/>
              <w:right w:val="outset" w:sz="6" w:space="0" w:color="000000"/>
            </w:tcBorders>
          </w:tcPr>
          <w:p>
            <w:pPr>
              <w:pStyle w:val="Normal"/>
              <w:widowControl w:val="false"/>
              <w:spacing w:lineRule="auto" w:line="276" w:before="120" w:after="120"/>
              <w:ind w:left="0" w:right="-30" w:hanging="0"/>
              <w:jc w:val="center"/>
              <w:rPr>
                <w:rFonts w:cs="Arial"/>
                <w:szCs w:val="20"/>
              </w:rPr>
            </w:pPr>
            <w:r>
              <w:rPr>
                <w:rFonts w:cs="Arial"/>
                <w:szCs w:val="20"/>
              </w:rPr>
              <w:t>3,2% ao dia sobre o valor mensal do contrato</w:t>
            </w:r>
          </w:p>
        </w:tc>
      </w:tr>
    </w:tbl>
    <w:p>
      <w:pPr>
        <w:pStyle w:val="Normal"/>
        <w:spacing w:lineRule="auto" w:line="276" w:before="120" w:after="120"/>
        <w:ind w:left="0" w:right="-30" w:hanging="0"/>
        <w:jc w:val="center"/>
        <w:rPr>
          <w:rFonts w:cs="Arial"/>
          <w:b/>
          <w:b/>
          <w:bCs/>
          <w:szCs w:val="20"/>
        </w:rPr>
      </w:pPr>
      <w:r>
        <w:rPr>
          <w:rFonts w:cs="Arial"/>
          <w:b/>
          <w:bCs/>
          <w:szCs w:val="20"/>
        </w:rPr>
        <w:t>Tabela 2</w:t>
      </w:r>
    </w:p>
    <w:tbl>
      <w:tblPr>
        <w:tblW w:w="9180" w:type="dxa"/>
        <w:jc w:val="left"/>
        <w:tblInd w:w="0" w:type="dxa"/>
        <w:tblLayout w:type="fixed"/>
        <w:tblCellMar>
          <w:top w:w="75" w:type="dxa"/>
          <w:left w:w="75" w:type="dxa"/>
          <w:bottom w:w="75" w:type="dxa"/>
          <w:right w:w="75" w:type="dxa"/>
        </w:tblCellMar>
      </w:tblPr>
      <w:tblGrid>
        <w:gridCol w:w="2239"/>
        <w:gridCol w:w="4981"/>
        <w:gridCol w:w="1960"/>
      </w:tblGrid>
      <w:tr>
        <w:trPr>
          <w:trHeight w:val="60" w:hRule="atLeast"/>
        </w:trPr>
        <w:tc>
          <w:tcPr>
            <w:tcW w:w="9180" w:type="dxa"/>
            <w:gridSpan w:val="3"/>
            <w:tcBorders>
              <w:top w:val="outset" w:sz="6" w:space="0" w:color="000000"/>
              <w:left w:val="outset" w:sz="6" w:space="0" w:color="000000"/>
              <w:bottom w:val="outset" w:sz="6" w:space="0" w:color="000000"/>
              <w:right w:val="outset" w:sz="6" w:space="0" w:color="000000"/>
            </w:tcBorders>
          </w:tcPr>
          <w:p>
            <w:pPr>
              <w:pStyle w:val="Normal"/>
              <w:widowControl w:val="false"/>
              <w:spacing w:lineRule="auto" w:line="276" w:before="120" w:after="120"/>
              <w:ind w:left="0" w:right="-30" w:hanging="0"/>
              <w:jc w:val="center"/>
              <w:rPr>
                <w:rFonts w:cs="Arial"/>
                <w:b/>
                <w:b/>
                <w:bCs/>
                <w:szCs w:val="20"/>
              </w:rPr>
            </w:pPr>
            <w:r>
              <w:rPr>
                <w:rFonts w:cs="Arial"/>
                <w:b/>
                <w:bCs/>
                <w:szCs w:val="20"/>
              </w:rPr>
              <w:t>INFRAÇÃO</w:t>
            </w:r>
          </w:p>
        </w:tc>
      </w:tr>
      <w:tr>
        <w:trPr/>
        <w:tc>
          <w:tcPr>
            <w:tcW w:w="2239" w:type="dxa"/>
            <w:tcBorders>
              <w:top w:val="outset" w:sz="6" w:space="0" w:color="000000"/>
              <w:left w:val="outset" w:sz="6" w:space="0" w:color="000000"/>
              <w:bottom w:val="outset" w:sz="6" w:space="0" w:color="000000"/>
              <w:right w:val="outset" w:sz="6" w:space="0" w:color="000000"/>
            </w:tcBorders>
            <w:vAlign w:val="center"/>
          </w:tcPr>
          <w:p>
            <w:pPr>
              <w:pStyle w:val="Normal"/>
              <w:widowControl w:val="false"/>
              <w:spacing w:lineRule="auto" w:line="276" w:before="120" w:after="120"/>
              <w:ind w:left="0" w:right="-30" w:hanging="0"/>
              <w:jc w:val="center"/>
              <w:rPr>
                <w:rFonts w:cs="Arial"/>
                <w:b/>
                <w:b/>
                <w:bCs/>
                <w:szCs w:val="20"/>
              </w:rPr>
            </w:pPr>
            <w:r>
              <w:rPr>
                <w:rFonts w:cs="Arial"/>
                <w:b/>
                <w:bCs/>
                <w:szCs w:val="20"/>
              </w:rPr>
              <w:t>ITEM</w:t>
            </w:r>
          </w:p>
        </w:tc>
        <w:tc>
          <w:tcPr>
            <w:tcW w:w="4981" w:type="dxa"/>
            <w:tcBorders>
              <w:top w:val="outset" w:sz="6" w:space="0" w:color="000000"/>
              <w:left w:val="outset" w:sz="6" w:space="0" w:color="000000"/>
              <w:bottom w:val="outset" w:sz="6" w:space="0" w:color="000000"/>
              <w:right w:val="outset" w:sz="6" w:space="0" w:color="000000"/>
            </w:tcBorders>
          </w:tcPr>
          <w:p>
            <w:pPr>
              <w:pStyle w:val="Normal"/>
              <w:widowControl w:val="false"/>
              <w:spacing w:lineRule="auto" w:line="276" w:before="120" w:after="120"/>
              <w:ind w:left="0" w:right="-30" w:hanging="0"/>
              <w:jc w:val="center"/>
              <w:rPr>
                <w:rFonts w:cs="Arial"/>
                <w:b/>
                <w:b/>
                <w:bCs/>
                <w:szCs w:val="20"/>
              </w:rPr>
            </w:pPr>
            <w:r>
              <w:rPr>
                <w:rFonts w:cs="Arial"/>
                <w:b/>
                <w:bCs/>
                <w:szCs w:val="20"/>
              </w:rPr>
              <w:t>DESCRIÇÃO</w:t>
            </w:r>
          </w:p>
        </w:tc>
        <w:tc>
          <w:tcPr>
            <w:tcW w:w="1960" w:type="dxa"/>
            <w:tcBorders>
              <w:top w:val="outset" w:sz="6" w:space="0" w:color="000000"/>
              <w:left w:val="outset" w:sz="6" w:space="0" w:color="000000"/>
              <w:bottom w:val="outset" w:sz="6" w:space="0" w:color="000000"/>
              <w:right w:val="outset" w:sz="6" w:space="0" w:color="000000"/>
            </w:tcBorders>
            <w:vAlign w:val="center"/>
          </w:tcPr>
          <w:p>
            <w:pPr>
              <w:pStyle w:val="Normal"/>
              <w:widowControl w:val="false"/>
              <w:spacing w:lineRule="auto" w:line="276" w:before="120" w:after="120"/>
              <w:ind w:left="0" w:right="-30" w:hanging="0"/>
              <w:jc w:val="center"/>
              <w:rPr>
                <w:rFonts w:cs="Arial"/>
                <w:b/>
                <w:b/>
                <w:bCs/>
                <w:szCs w:val="20"/>
              </w:rPr>
            </w:pPr>
            <w:r>
              <w:rPr>
                <w:rFonts w:cs="Arial"/>
                <w:b/>
                <w:bCs/>
                <w:szCs w:val="20"/>
              </w:rPr>
              <w:t>GRAU</w:t>
            </w:r>
          </w:p>
        </w:tc>
      </w:tr>
      <w:tr>
        <w:trPr/>
        <w:tc>
          <w:tcPr>
            <w:tcW w:w="2239" w:type="dxa"/>
            <w:tcBorders>
              <w:top w:val="outset" w:sz="6" w:space="0" w:color="000000"/>
              <w:left w:val="outset" w:sz="6" w:space="0" w:color="000000"/>
              <w:bottom w:val="outset" w:sz="6" w:space="0" w:color="000000"/>
              <w:right w:val="outset" w:sz="6" w:space="0" w:color="000000"/>
            </w:tcBorders>
            <w:vAlign w:val="center"/>
          </w:tcPr>
          <w:p>
            <w:pPr>
              <w:pStyle w:val="Normal"/>
              <w:widowControl w:val="false"/>
              <w:spacing w:lineRule="auto" w:line="276" w:before="120" w:after="120"/>
              <w:ind w:left="0" w:right="-30" w:hanging="0"/>
              <w:jc w:val="center"/>
              <w:rPr>
                <w:rFonts w:cs="Arial"/>
                <w:szCs w:val="20"/>
              </w:rPr>
            </w:pPr>
            <w:r>
              <w:rPr>
                <w:rFonts w:cs="Arial"/>
                <w:szCs w:val="20"/>
              </w:rPr>
              <w:t>1</w:t>
            </w:r>
          </w:p>
        </w:tc>
        <w:tc>
          <w:tcPr>
            <w:tcW w:w="4981" w:type="dxa"/>
            <w:tcBorders>
              <w:top w:val="outset" w:sz="6" w:space="0" w:color="000000"/>
              <w:left w:val="outset" w:sz="6" w:space="0" w:color="000000"/>
              <w:bottom w:val="outset" w:sz="6" w:space="0" w:color="000000"/>
              <w:right w:val="outset" w:sz="6" w:space="0" w:color="000000"/>
            </w:tcBorders>
          </w:tcPr>
          <w:p>
            <w:pPr>
              <w:pStyle w:val="Normal"/>
              <w:widowControl w:val="false"/>
              <w:spacing w:lineRule="auto" w:line="276" w:before="120" w:after="120"/>
              <w:ind w:left="0" w:right="-30" w:hanging="0"/>
              <w:jc w:val="center"/>
              <w:rPr>
                <w:rFonts w:cs="Arial"/>
                <w:szCs w:val="20"/>
              </w:rPr>
            </w:pPr>
            <w:r>
              <w:rPr>
                <w:rFonts w:cs="Arial"/>
                <w:szCs w:val="20"/>
              </w:rPr>
              <w:t>Permitir situação que crie a possibilidade de causar dano físico, lesão corporal ou conseqüências letais, por ocorrência;</w:t>
            </w:r>
          </w:p>
        </w:tc>
        <w:tc>
          <w:tcPr>
            <w:tcW w:w="1960" w:type="dxa"/>
            <w:tcBorders>
              <w:top w:val="outset" w:sz="6" w:space="0" w:color="000000"/>
              <w:left w:val="outset" w:sz="6" w:space="0" w:color="000000"/>
              <w:bottom w:val="outset" w:sz="6" w:space="0" w:color="000000"/>
              <w:right w:val="outset" w:sz="6" w:space="0" w:color="000000"/>
            </w:tcBorders>
            <w:vAlign w:val="center"/>
          </w:tcPr>
          <w:p>
            <w:pPr>
              <w:pStyle w:val="Normal"/>
              <w:widowControl w:val="false"/>
              <w:spacing w:lineRule="auto" w:line="276" w:before="120" w:after="120"/>
              <w:ind w:left="0" w:right="-30" w:hanging="0"/>
              <w:jc w:val="center"/>
              <w:rPr>
                <w:rFonts w:cs="Arial"/>
                <w:szCs w:val="20"/>
              </w:rPr>
            </w:pPr>
            <w:r>
              <w:rPr>
                <w:rFonts w:cs="Arial"/>
                <w:szCs w:val="20"/>
              </w:rPr>
              <w:t>05</w:t>
            </w:r>
          </w:p>
        </w:tc>
      </w:tr>
      <w:tr>
        <w:trPr/>
        <w:tc>
          <w:tcPr>
            <w:tcW w:w="2239" w:type="dxa"/>
            <w:tcBorders>
              <w:top w:val="outset" w:sz="6" w:space="0" w:color="000000"/>
              <w:left w:val="outset" w:sz="6" w:space="0" w:color="000000"/>
              <w:bottom w:val="outset" w:sz="6" w:space="0" w:color="000000"/>
              <w:right w:val="outset" w:sz="6" w:space="0" w:color="000000"/>
            </w:tcBorders>
            <w:vAlign w:val="center"/>
          </w:tcPr>
          <w:p>
            <w:pPr>
              <w:pStyle w:val="Normal"/>
              <w:widowControl w:val="false"/>
              <w:spacing w:lineRule="auto" w:line="276" w:before="120" w:after="120"/>
              <w:ind w:left="0" w:right="-30" w:hanging="0"/>
              <w:jc w:val="center"/>
              <w:rPr>
                <w:rFonts w:cs="Arial"/>
                <w:szCs w:val="20"/>
              </w:rPr>
            </w:pPr>
            <w:r>
              <w:rPr>
                <w:rFonts w:cs="Arial"/>
                <w:szCs w:val="20"/>
              </w:rPr>
              <w:t>2</w:t>
            </w:r>
          </w:p>
        </w:tc>
        <w:tc>
          <w:tcPr>
            <w:tcW w:w="4981" w:type="dxa"/>
            <w:tcBorders>
              <w:top w:val="outset" w:sz="6" w:space="0" w:color="000000"/>
              <w:left w:val="outset" w:sz="6" w:space="0" w:color="000000"/>
              <w:bottom w:val="outset" w:sz="6" w:space="0" w:color="000000"/>
              <w:right w:val="outset" w:sz="6" w:space="0" w:color="000000"/>
            </w:tcBorders>
          </w:tcPr>
          <w:p>
            <w:pPr>
              <w:pStyle w:val="Normal"/>
              <w:widowControl w:val="false"/>
              <w:spacing w:lineRule="auto" w:line="276" w:before="120" w:after="120"/>
              <w:ind w:left="0" w:right="-30" w:hanging="0"/>
              <w:jc w:val="center"/>
              <w:rPr>
                <w:rFonts w:cs="Arial"/>
                <w:szCs w:val="20"/>
              </w:rPr>
            </w:pPr>
            <w:r>
              <w:rPr>
                <w:rFonts w:cs="Arial"/>
                <w:szCs w:val="20"/>
              </w:rPr>
              <w:t>Suspender ou interromper, salvo motivo de força maior ou caso fortuito, os serviços contratuais por dia e por unidade de atendimento;</w:t>
            </w:r>
          </w:p>
        </w:tc>
        <w:tc>
          <w:tcPr>
            <w:tcW w:w="1960" w:type="dxa"/>
            <w:tcBorders>
              <w:top w:val="outset" w:sz="6" w:space="0" w:color="000000"/>
              <w:left w:val="outset" w:sz="6" w:space="0" w:color="000000"/>
              <w:bottom w:val="outset" w:sz="6" w:space="0" w:color="000000"/>
              <w:right w:val="outset" w:sz="6" w:space="0" w:color="000000"/>
            </w:tcBorders>
            <w:vAlign w:val="center"/>
          </w:tcPr>
          <w:p>
            <w:pPr>
              <w:pStyle w:val="Normal"/>
              <w:widowControl w:val="false"/>
              <w:spacing w:lineRule="auto" w:line="276" w:before="120" w:after="120"/>
              <w:ind w:left="0" w:right="-30" w:hanging="0"/>
              <w:jc w:val="center"/>
              <w:rPr>
                <w:rFonts w:cs="Arial"/>
                <w:szCs w:val="20"/>
              </w:rPr>
            </w:pPr>
            <w:r>
              <w:rPr>
                <w:rFonts w:cs="Arial"/>
                <w:szCs w:val="20"/>
              </w:rPr>
              <w:t>04</w:t>
            </w:r>
          </w:p>
        </w:tc>
      </w:tr>
      <w:tr>
        <w:trPr/>
        <w:tc>
          <w:tcPr>
            <w:tcW w:w="2239" w:type="dxa"/>
            <w:tcBorders>
              <w:top w:val="outset" w:sz="6" w:space="0" w:color="000000"/>
              <w:left w:val="outset" w:sz="6" w:space="0" w:color="000000"/>
              <w:bottom w:val="outset" w:sz="6" w:space="0" w:color="000000"/>
              <w:right w:val="outset" w:sz="6" w:space="0" w:color="000000"/>
            </w:tcBorders>
            <w:vAlign w:val="center"/>
          </w:tcPr>
          <w:p>
            <w:pPr>
              <w:pStyle w:val="Normal"/>
              <w:widowControl w:val="false"/>
              <w:spacing w:lineRule="auto" w:line="276" w:before="120" w:after="120"/>
              <w:ind w:left="0" w:right="-30" w:hanging="0"/>
              <w:jc w:val="center"/>
              <w:rPr>
                <w:rFonts w:cs="Arial"/>
                <w:szCs w:val="20"/>
              </w:rPr>
            </w:pPr>
            <w:r>
              <w:rPr>
                <w:rFonts w:cs="Arial"/>
                <w:szCs w:val="20"/>
              </w:rPr>
              <w:t>3</w:t>
            </w:r>
          </w:p>
        </w:tc>
        <w:tc>
          <w:tcPr>
            <w:tcW w:w="4981" w:type="dxa"/>
            <w:tcBorders>
              <w:top w:val="outset" w:sz="6" w:space="0" w:color="000000"/>
              <w:left w:val="outset" w:sz="6" w:space="0" w:color="000000"/>
              <w:bottom w:val="outset" w:sz="6" w:space="0" w:color="000000"/>
              <w:right w:val="outset" w:sz="6" w:space="0" w:color="000000"/>
            </w:tcBorders>
          </w:tcPr>
          <w:p>
            <w:pPr>
              <w:pStyle w:val="Normal"/>
              <w:widowControl w:val="false"/>
              <w:spacing w:lineRule="auto" w:line="276" w:before="120" w:after="120"/>
              <w:ind w:left="0" w:right="-30" w:hanging="0"/>
              <w:jc w:val="center"/>
              <w:rPr>
                <w:rFonts w:cs="Arial"/>
                <w:szCs w:val="20"/>
              </w:rPr>
            </w:pPr>
            <w:r>
              <w:rPr>
                <w:rFonts w:cs="Arial"/>
                <w:szCs w:val="20"/>
              </w:rPr>
              <w:t>Manter funcionário sem qualificação para executar os serviços contratados, por empregado e por dia;</w:t>
            </w:r>
          </w:p>
        </w:tc>
        <w:tc>
          <w:tcPr>
            <w:tcW w:w="1960" w:type="dxa"/>
            <w:tcBorders>
              <w:top w:val="outset" w:sz="6" w:space="0" w:color="000000"/>
              <w:left w:val="outset" w:sz="6" w:space="0" w:color="000000"/>
              <w:bottom w:val="outset" w:sz="6" w:space="0" w:color="000000"/>
              <w:right w:val="outset" w:sz="6" w:space="0" w:color="000000"/>
            </w:tcBorders>
            <w:vAlign w:val="center"/>
          </w:tcPr>
          <w:p>
            <w:pPr>
              <w:pStyle w:val="Normal"/>
              <w:widowControl w:val="false"/>
              <w:spacing w:lineRule="auto" w:line="276" w:before="120" w:after="120"/>
              <w:ind w:left="0" w:right="-30" w:hanging="0"/>
              <w:jc w:val="center"/>
              <w:rPr>
                <w:rFonts w:cs="Arial"/>
                <w:szCs w:val="20"/>
              </w:rPr>
            </w:pPr>
            <w:r>
              <w:rPr>
                <w:rFonts w:cs="Arial"/>
                <w:szCs w:val="20"/>
              </w:rPr>
              <w:t>03</w:t>
            </w:r>
          </w:p>
        </w:tc>
      </w:tr>
      <w:tr>
        <w:trPr/>
        <w:tc>
          <w:tcPr>
            <w:tcW w:w="2239" w:type="dxa"/>
            <w:tcBorders>
              <w:top w:val="outset" w:sz="6" w:space="0" w:color="000000"/>
              <w:left w:val="outset" w:sz="6" w:space="0" w:color="000000"/>
              <w:bottom w:val="outset" w:sz="6" w:space="0" w:color="000000"/>
              <w:right w:val="outset" w:sz="6" w:space="0" w:color="000000"/>
            </w:tcBorders>
            <w:vAlign w:val="center"/>
          </w:tcPr>
          <w:p>
            <w:pPr>
              <w:pStyle w:val="Normal"/>
              <w:widowControl w:val="false"/>
              <w:spacing w:lineRule="auto" w:line="276" w:before="120" w:after="120"/>
              <w:ind w:left="0" w:right="-30" w:hanging="0"/>
              <w:jc w:val="center"/>
              <w:rPr>
                <w:rFonts w:cs="Arial"/>
                <w:szCs w:val="20"/>
              </w:rPr>
            </w:pPr>
            <w:r>
              <w:rPr>
                <w:rFonts w:cs="Arial"/>
                <w:szCs w:val="20"/>
              </w:rPr>
              <w:t>4</w:t>
            </w:r>
          </w:p>
        </w:tc>
        <w:tc>
          <w:tcPr>
            <w:tcW w:w="4981" w:type="dxa"/>
            <w:tcBorders>
              <w:top w:val="outset" w:sz="6" w:space="0" w:color="000000"/>
              <w:left w:val="outset" w:sz="6" w:space="0" w:color="000000"/>
              <w:bottom w:val="outset" w:sz="6" w:space="0" w:color="000000"/>
              <w:right w:val="outset" w:sz="6" w:space="0" w:color="000000"/>
            </w:tcBorders>
          </w:tcPr>
          <w:p>
            <w:pPr>
              <w:pStyle w:val="Normal"/>
              <w:widowControl w:val="false"/>
              <w:spacing w:lineRule="auto" w:line="276" w:before="120" w:after="120"/>
              <w:ind w:left="0" w:right="-30" w:hanging="0"/>
              <w:jc w:val="center"/>
              <w:rPr>
                <w:rFonts w:cs="Arial"/>
                <w:szCs w:val="20"/>
              </w:rPr>
            </w:pPr>
            <w:r>
              <w:rPr>
                <w:rFonts w:cs="Arial"/>
                <w:szCs w:val="20"/>
              </w:rPr>
              <w:t>Recusar-se a executar serviço determinado pela fiscalização, por serviço e por dia;</w:t>
            </w:r>
          </w:p>
        </w:tc>
        <w:tc>
          <w:tcPr>
            <w:tcW w:w="1960" w:type="dxa"/>
            <w:tcBorders>
              <w:top w:val="outset" w:sz="6" w:space="0" w:color="000000"/>
              <w:left w:val="outset" w:sz="6" w:space="0" w:color="000000"/>
              <w:bottom w:val="outset" w:sz="6" w:space="0" w:color="000000"/>
              <w:right w:val="outset" w:sz="6" w:space="0" w:color="000000"/>
            </w:tcBorders>
            <w:vAlign w:val="center"/>
          </w:tcPr>
          <w:p>
            <w:pPr>
              <w:pStyle w:val="Normal"/>
              <w:widowControl w:val="false"/>
              <w:spacing w:lineRule="auto" w:line="276" w:before="120" w:after="120"/>
              <w:ind w:left="0" w:right="-30" w:hanging="0"/>
              <w:jc w:val="center"/>
              <w:rPr>
                <w:rFonts w:cs="Arial"/>
                <w:szCs w:val="20"/>
              </w:rPr>
            </w:pPr>
            <w:r>
              <w:rPr>
                <w:rFonts w:cs="Arial"/>
                <w:szCs w:val="20"/>
              </w:rPr>
              <w:t>02</w:t>
            </w:r>
          </w:p>
        </w:tc>
      </w:tr>
      <w:tr>
        <w:trPr/>
        <w:tc>
          <w:tcPr>
            <w:tcW w:w="2239" w:type="dxa"/>
            <w:tcBorders>
              <w:top w:val="outset" w:sz="6" w:space="0" w:color="000000"/>
              <w:left w:val="outset" w:sz="6" w:space="0" w:color="000000"/>
              <w:bottom w:val="outset" w:sz="6" w:space="0" w:color="000000"/>
              <w:right w:val="outset" w:sz="6" w:space="0" w:color="000000"/>
            </w:tcBorders>
            <w:vAlign w:val="center"/>
          </w:tcPr>
          <w:p>
            <w:pPr>
              <w:pStyle w:val="Normal"/>
              <w:widowControl w:val="false"/>
              <w:spacing w:lineRule="auto" w:line="276" w:before="120" w:after="120"/>
              <w:ind w:left="0" w:right="-30" w:hanging="0"/>
              <w:jc w:val="center"/>
              <w:rPr>
                <w:rFonts w:cs="Arial"/>
                <w:szCs w:val="20"/>
              </w:rPr>
            </w:pPr>
            <w:r>
              <w:rPr>
                <w:rFonts w:cs="Arial"/>
                <w:szCs w:val="20"/>
              </w:rPr>
              <w:t>5</w:t>
            </w:r>
          </w:p>
        </w:tc>
        <w:tc>
          <w:tcPr>
            <w:tcW w:w="4981" w:type="dxa"/>
            <w:tcBorders>
              <w:top w:val="outset" w:sz="6" w:space="0" w:color="000000"/>
              <w:left w:val="outset" w:sz="6" w:space="0" w:color="000000"/>
              <w:bottom w:val="outset" w:sz="6" w:space="0" w:color="000000"/>
              <w:right w:val="outset" w:sz="6" w:space="0" w:color="000000"/>
            </w:tcBorders>
          </w:tcPr>
          <w:p>
            <w:pPr>
              <w:pStyle w:val="Normal"/>
              <w:widowControl w:val="false"/>
              <w:spacing w:lineRule="auto" w:line="276" w:before="120" w:after="120"/>
              <w:ind w:left="0" w:right="-30" w:hanging="0"/>
              <w:jc w:val="center"/>
              <w:rPr>
                <w:rFonts w:cs="Arial"/>
                <w:szCs w:val="20"/>
              </w:rPr>
            </w:pPr>
            <w:r>
              <w:rPr>
                <w:rFonts w:cs="Arial"/>
                <w:szCs w:val="20"/>
              </w:rPr>
              <w:t>Retirar funcionários ou encarregados do serviço durante o expediente, sem a anuência prévia do CONTRATANTE, por empregado e por dia;</w:t>
            </w:r>
          </w:p>
        </w:tc>
        <w:tc>
          <w:tcPr>
            <w:tcW w:w="1960" w:type="dxa"/>
            <w:tcBorders>
              <w:top w:val="outset" w:sz="6" w:space="0" w:color="000000"/>
              <w:left w:val="outset" w:sz="6" w:space="0" w:color="000000"/>
              <w:bottom w:val="outset" w:sz="6" w:space="0" w:color="000000"/>
              <w:right w:val="outset" w:sz="6" w:space="0" w:color="000000"/>
            </w:tcBorders>
            <w:vAlign w:val="center"/>
          </w:tcPr>
          <w:p>
            <w:pPr>
              <w:pStyle w:val="Normal"/>
              <w:widowControl w:val="false"/>
              <w:spacing w:lineRule="auto" w:line="276" w:before="120" w:after="120"/>
              <w:ind w:left="0" w:right="-30" w:hanging="0"/>
              <w:jc w:val="center"/>
              <w:rPr>
                <w:rFonts w:cs="Arial"/>
                <w:szCs w:val="20"/>
              </w:rPr>
            </w:pPr>
            <w:r>
              <w:rPr>
                <w:rFonts w:cs="Arial"/>
                <w:szCs w:val="20"/>
              </w:rPr>
              <w:t>03</w:t>
            </w:r>
          </w:p>
        </w:tc>
      </w:tr>
      <w:tr>
        <w:trPr>
          <w:trHeight w:val="225" w:hRule="atLeast"/>
        </w:trPr>
        <w:tc>
          <w:tcPr>
            <w:tcW w:w="9180" w:type="dxa"/>
            <w:gridSpan w:val="3"/>
            <w:tcBorders>
              <w:top w:val="outset" w:sz="6" w:space="0" w:color="000000"/>
              <w:left w:val="outset" w:sz="6" w:space="0" w:color="000000"/>
              <w:bottom w:val="outset" w:sz="6" w:space="0" w:color="000000"/>
              <w:right w:val="outset" w:sz="6" w:space="0" w:color="000000"/>
            </w:tcBorders>
            <w:vAlign w:val="center"/>
          </w:tcPr>
          <w:p>
            <w:pPr>
              <w:pStyle w:val="Normal"/>
              <w:widowControl w:val="false"/>
              <w:spacing w:lineRule="auto" w:line="276" w:before="120" w:after="120"/>
              <w:ind w:left="0" w:right="-30" w:hanging="0"/>
              <w:jc w:val="center"/>
              <w:rPr>
                <w:rFonts w:cs="Arial"/>
                <w:b/>
                <w:b/>
                <w:bCs/>
                <w:szCs w:val="20"/>
              </w:rPr>
            </w:pPr>
            <w:r>
              <w:rPr>
                <w:rFonts w:cs="Arial"/>
                <w:b/>
                <w:bCs/>
                <w:szCs w:val="20"/>
              </w:rPr>
              <w:t>Para os itens a seguir, deixar de:</w:t>
            </w:r>
          </w:p>
        </w:tc>
      </w:tr>
      <w:tr>
        <w:trPr/>
        <w:tc>
          <w:tcPr>
            <w:tcW w:w="2239" w:type="dxa"/>
            <w:tcBorders>
              <w:top w:val="outset" w:sz="6" w:space="0" w:color="000000"/>
              <w:left w:val="outset" w:sz="6" w:space="0" w:color="000000"/>
              <w:bottom w:val="outset" w:sz="6" w:space="0" w:color="000000"/>
              <w:right w:val="outset" w:sz="6" w:space="0" w:color="000000"/>
            </w:tcBorders>
            <w:vAlign w:val="center"/>
          </w:tcPr>
          <w:p>
            <w:pPr>
              <w:pStyle w:val="Normal"/>
              <w:widowControl w:val="false"/>
              <w:spacing w:lineRule="auto" w:line="276" w:before="120" w:after="120"/>
              <w:ind w:left="0" w:right="-30" w:hanging="0"/>
              <w:jc w:val="center"/>
              <w:rPr>
                <w:rFonts w:cs="Arial"/>
                <w:szCs w:val="20"/>
              </w:rPr>
            </w:pPr>
            <w:r>
              <w:rPr>
                <w:rFonts w:cs="Arial"/>
                <w:szCs w:val="20"/>
              </w:rPr>
              <w:t>6</w:t>
            </w:r>
          </w:p>
        </w:tc>
        <w:tc>
          <w:tcPr>
            <w:tcW w:w="4981" w:type="dxa"/>
            <w:tcBorders>
              <w:top w:val="outset" w:sz="6" w:space="0" w:color="000000"/>
              <w:left w:val="outset" w:sz="6" w:space="0" w:color="000000"/>
              <w:bottom w:val="outset" w:sz="6" w:space="0" w:color="000000"/>
              <w:right w:val="outset" w:sz="6" w:space="0" w:color="000000"/>
            </w:tcBorders>
          </w:tcPr>
          <w:p>
            <w:pPr>
              <w:pStyle w:val="Normal"/>
              <w:widowControl w:val="false"/>
              <w:spacing w:lineRule="auto" w:line="276" w:before="120" w:after="120"/>
              <w:ind w:left="0" w:right="-30" w:hanging="0"/>
              <w:jc w:val="center"/>
              <w:rPr>
                <w:rFonts w:cs="Arial"/>
                <w:szCs w:val="20"/>
              </w:rPr>
            </w:pPr>
            <w:r>
              <w:rPr>
                <w:rFonts w:cs="Arial"/>
                <w:szCs w:val="20"/>
              </w:rPr>
              <w:t>Registrar e controlar, diariamente, a assiduidade e a pontualidade de seu pessoal, por funcionário e por dia;</w:t>
            </w:r>
          </w:p>
        </w:tc>
        <w:tc>
          <w:tcPr>
            <w:tcW w:w="1960" w:type="dxa"/>
            <w:tcBorders>
              <w:top w:val="outset" w:sz="6" w:space="0" w:color="000000"/>
              <w:left w:val="outset" w:sz="6" w:space="0" w:color="000000"/>
              <w:bottom w:val="outset" w:sz="6" w:space="0" w:color="000000"/>
              <w:right w:val="outset" w:sz="6" w:space="0" w:color="000000"/>
            </w:tcBorders>
            <w:vAlign w:val="center"/>
          </w:tcPr>
          <w:p>
            <w:pPr>
              <w:pStyle w:val="Normal"/>
              <w:widowControl w:val="false"/>
              <w:spacing w:lineRule="auto" w:line="276" w:before="120" w:after="120"/>
              <w:ind w:left="0" w:right="-30" w:hanging="0"/>
              <w:jc w:val="center"/>
              <w:rPr>
                <w:rFonts w:cs="Arial"/>
                <w:szCs w:val="20"/>
              </w:rPr>
            </w:pPr>
            <w:r>
              <w:rPr>
                <w:rFonts w:cs="Arial"/>
                <w:szCs w:val="20"/>
              </w:rPr>
              <w:t>01</w:t>
            </w:r>
          </w:p>
        </w:tc>
      </w:tr>
      <w:tr>
        <w:trPr/>
        <w:tc>
          <w:tcPr>
            <w:tcW w:w="2239" w:type="dxa"/>
            <w:tcBorders>
              <w:top w:val="outset" w:sz="6" w:space="0" w:color="000000"/>
              <w:left w:val="outset" w:sz="6" w:space="0" w:color="000000"/>
              <w:bottom w:val="outset" w:sz="6" w:space="0" w:color="000000"/>
              <w:right w:val="outset" w:sz="6" w:space="0" w:color="000000"/>
            </w:tcBorders>
            <w:vAlign w:val="center"/>
          </w:tcPr>
          <w:p>
            <w:pPr>
              <w:pStyle w:val="Normal"/>
              <w:widowControl w:val="false"/>
              <w:spacing w:lineRule="auto" w:line="276" w:before="120" w:after="120"/>
              <w:ind w:left="0" w:right="-30" w:hanging="0"/>
              <w:jc w:val="center"/>
              <w:rPr>
                <w:rFonts w:cs="Arial"/>
                <w:szCs w:val="20"/>
              </w:rPr>
            </w:pPr>
            <w:r>
              <w:rPr>
                <w:rFonts w:cs="Arial"/>
                <w:szCs w:val="20"/>
              </w:rPr>
              <w:t>7</w:t>
            </w:r>
          </w:p>
        </w:tc>
        <w:tc>
          <w:tcPr>
            <w:tcW w:w="4981" w:type="dxa"/>
            <w:tcBorders>
              <w:top w:val="outset" w:sz="6" w:space="0" w:color="000000"/>
              <w:left w:val="outset" w:sz="6" w:space="0" w:color="000000"/>
              <w:bottom w:val="outset" w:sz="6" w:space="0" w:color="000000"/>
              <w:right w:val="outset" w:sz="6" w:space="0" w:color="000000"/>
            </w:tcBorders>
          </w:tcPr>
          <w:p>
            <w:pPr>
              <w:pStyle w:val="Normal"/>
              <w:widowControl w:val="false"/>
              <w:spacing w:lineRule="auto" w:line="276" w:before="120" w:after="120"/>
              <w:ind w:left="0" w:right="-30" w:hanging="0"/>
              <w:jc w:val="center"/>
              <w:rPr>
                <w:rFonts w:cs="Arial"/>
                <w:szCs w:val="20"/>
              </w:rPr>
            </w:pPr>
            <w:r>
              <w:rPr>
                <w:rFonts w:cs="Arial"/>
                <w:szCs w:val="20"/>
              </w:rPr>
              <w:t>Cumprir determinação formal ou instrução complementar do órgão fiscalizador, por ocorrência;</w:t>
            </w:r>
          </w:p>
        </w:tc>
        <w:tc>
          <w:tcPr>
            <w:tcW w:w="1960" w:type="dxa"/>
            <w:tcBorders>
              <w:top w:val="outset" w:sz="6" w:space="0" w:color="000000"/>
              <w:left w:val="outset" w:sz="6" w:space="0" w:color="000000"/>
              <w:bottom w:val="outset" w:sz="6" w:space="0" w:color="000000"/>
              <w:right w:val="outset" w:sz="6" w:space="0" w:color="000000"/>
            </w:tcBorders>
            <w:vAlign w:val="center"/>
          </w:tcPr>
          <w:p>
            <w:pPr>
              <w:pStyle w:val="Normal"/>
              <w:widowControl w:val="false"/>
              <w:spacing w:lineRule="auto" w:line="276" w:before="120" w:after="120"/>
              <w:ind w:left="0" w:right="-30" w:hanging="0"/>
              <w:jc w:val="center"/>
              <w:rPr>
                <w:rFonts w:cs="Arial"/>
                <w:szCs w:val="20"/>
              </w:rPr>
            </w:pPr>
            <w:r>
              <w:rPr>
                <w:rFonts w:cs="Arial"/>
                <w:szCs w:val="20"/>
              </w:rPr>
              <w:t>02</w:t>
            </w:r>
          </w:p>
        </w:tc>
      </w:tr>
      <w:tr>
        <w:trPr/>
        <w:tc>
          <w:tcPr>
            <w:tcW w:w="2239" w:type="dxa"/>
            <w:tcBorders>
              <w:top w:val="outset" w:sz="6" w:space="0" w:color="000000"/>
              <w:left w:val="outset" w:sz="6" w:space="0" w:color="000000"/>
              <w:bottom w:val="outset" w:sz="6" w:space="0" w:color="000000"/>
              <w:right w:val="outset" w:sz="6" w:space="0" w:color="000000"/>
            </w:tcBorders>
            <w:vAlign w:val="center"/>
          </w:tcPr>
          <w:p>
            <w:pPr>
              <w:pStyle w:val="Normal"/>
              <w:widowControl w:val="false"/>
              <w:spacing w:lineRule="auto" w:line="276" w:before="120" w:after="120"/>
              <w:ind w:left="0" w:right="-30" w:hanging="0"/>
              <w:jc w:val="center"/>
              <w:rPr>
                <w:rFonts w:cs="Arial"/>
                <w:szCs w:val="20"/>
              </w:rPr>
            </w:pPr>
            <w:r>
              <w:rPr>
                <w:rFonts w:cs="Arial"/>
                <w:szCs w:val="20"/>
              </w:rPr>
              <w:t>8</w:t>
            </w:r>
          </w:p>
        </w:tc>
        <w:tc>
          <w:tcPr>
            <w:tcW w:w="4981" w:type="dxa"/>
            <w:tcBorders>
              <w:top w:val="outset" w:sz="6" w:space="0" w:color="000000"/>
              <w:left w:val="outset" w:sz="6" w:space="0" w:color="000000"/>
              <w:bottom w:val="outset" w:sz="6" w:space="0" w:color="000000"/>
              <w:right w:val="outset" w:sz="6" w:space="0" w:color="000000"/>
            </w:tcBorders>
          </w:tcPr>
          <w:p>
            <w:pPr>
              <w:pStyle w:val="Normal"/>
              <w:widowControl w:val="false"/>
              <w:spacing w:lineRule="auto" w:line="276" w:before="120" w:after="120"/>
              <w:ind w:left="0" w:right="-30" w:hanging="0"/>
              <w:jc w:val="center"/>
              <w:rPr>
                <w:rFonts w:cs="Arial"/>
                <w:szCs w:val="20"/>
              </w:rPr>
            </w:pPr>
            <w:r>
              <w:rPr>
                <w:rFonts w:cs="Arial"/>
                <w:szCs w:val="20"/>
              </w:rPr>
              <w:t>Substituir empregado que se conduza de modo inconveniente ou não atenda às necessidades do serviço, por funcionário e por dia;</w:t>
            </w:r>
          </w:p>
        </w:tc>
        <w:tc>
          <w:tcPr>
            <w:tcW w:w="1960" w:type="dxa"/>
            <w:tcBorders>
              <w:top w:val="outset" w:sz="6" w:space="0" w:color="000000"/>
              <w:left w:val="outset" w:sz="6" w:space="0" w:color="000000"/>
              <w:bottom w:val="outset" w:sz="6" w:space="0" w:color="000000"/>
              <w:right w:val="outset" w:sz="6" w:space="0" w:color="000000"/>
            </w:tcBorders>
            <w:vAlign w:val="center"/>
          </w:tcPr>
          <w:p>
            <w:pPr>
              <w:pStyle w:val="Normal"/>
              <w:widowControl w:val="false"/>
              <w:spacing w:lineRule="auto" w:line="276" w:before="120" w:after="120"/>
              <w:ind w:left="0" w:right="-30" w:hanging="0"/>
              <w:jc w:val="center"/>
              <w:rPr>
                <w:rFonts w:cs="Arial"/>
                <w:szCs w:val="20"/>
              </w:rPr>
            </w:pPr>
            <w:r>
              <w:rPr>
                <w:rFonts w:cs="Arial"/>
                <w:szCs w:val="20"/>
              </w:rPr>
              <w:t>01</w:t>
            </w:r>
          </w:p>
        </w:tc>
      </w:tr>
      <w:tr>
        <w:trPr/>
        <w:tc>
          <w:tcPr>
            <w:tcW w:w="2239" w:type="dxa"/>
            <w:tcBorders>
              <w:top w:val="outset" w:sz="6" w:space="0" w:color="000000"/>
              <w:left w:val="outset" w:sz="6" w:space="0" w:color="000000"/>
              <w:bottom w:val="outset" w:sz="6" w:space="0" w:color="000000"/>
              <w:right w:val="outset" w:sz="6" w:space="0" w:color="000000"/>
            </w:tcBorders>
            <w:vAlign w:val="center"/>
          </w:tcPr>
          <w:p>
            <w:pPr>
              <w:pStyle w:val="Normal"/>
              <w:widowControl w:val="false"/>
              <w:spacing w:lineRule="auto" w:line="276" w:before="120" w:after="120"/>
              <w:ind w:left="0" w:right="-30" w:hanging="0"/>
              <w:jc w:val="center"/>
              <w:rPr>
                <w:rFonts w:cs="Arial"/>
                <w:szCs w:val="20"/>
              </w:rPr>
            </w:pPr>
            <w:r>
              <w:rPr>
                <w:rFonts w:cs="Arial"/>
                <w:szCs w:val="20"/>
              </w:rPr>
              <w:t>9</w:t>
            </w:r>
          </w:p>
        </w:tc>
        <w:tc>
          <w:tcPr>
            <w:tcW w:w="4981" w:type="dxa"/>
            <w:tcBorders>
              <w:top w:val="outset" w:sz="6" w:space="0" w:color="000000"/>
              <w:left w:val="outset" w:sz="6" w:space="0" w:color="000000"/>
              <w:bottom w:val="outset" w:sz="6" w:space="0" w:color="000000"/>
              <w:right w:val="outset" w:sz="6" w:space="0" w:color="000000"/>
            </w:tcBorders>
          </w:tcPr>
          <w:p>
            <w:pPr>
              <w:pStyle w:val="Normal"/>
              <w:widowControl w:val="false"/>
              <w:spacing w:lineRule="auto" w:line="276" w:before="120" w:after="120"/>
              <w:ind w:left="0" w:right="-30" w:hanging="0"/>
              <w:jc w:val="center"/>
              <w:rPr>
                <w:rFonts w:cs="Arial"/>
                <w:szCs w:val="20"/>
              </w:rPr>
            </w:pPr>
            <w:r>
              <w:rPr>
                <w:rFonts w:cs="Arial"/>
                <w:szCs w:val="20"/>
              </w:rPr>
              <w:t>Cumprir quaisquer dos itens do Edital e seus Anexos não previstos nesta tabela de multas, após reincidência formalmente notificada pelo órgão fiscalizador, por item e por ocorrência;</w:t>
            </w:r>
          </w:p>
        </w:tc>
        <w:tc>
          <w:tcPr>
            <w:tcW w:w="1960" w:type="dxa"/>
            <w:tcBorders>
              <w:top w:val="outset" w:sz="6" w:space="0" w:color="000000"/>
              <w:left w:val="outset" w:sz="6" w:space="0" w:color="000000"/>
              <w:bottom w:val="outset" w:sz="6" w:space="0" w:color="000000"/>
              <w:right w:val="outset" w:sz="6" w:space="0" w:color="000000"/>
            </w:tcBorders>
            <w:vAlign w:val="center"/>
          </w:tcPr>
          <w:p>
            <w:pPr>
              <w:pStyle w:val="Normal"/>
              <w:widowControl w:val="false"/>
              <w:spacing w:lineRule="auto" w:line="276" w:before="120" w:after="120"/>
              <w:ind w:left="0" w:right="-30" w:hanging="0"/>
              <w:jc w:val="center"/>
              <w:rPr>
                <w:rFonts w:cs="Arial"/>
                <w:szCs w:val="20"/>
              </w:rPr>
            </w:pPr>
            <w:r>
              <w:rPr>
                <w:rFonts w:cs="Arial"/>
                <w:szCs w:val="20"/>
              </w:rPr>
              <w:t>03</w:t>
            </w:r>
          </w:p>
        </w:tc>
      </w:tr>
      <w:tr>
        <w:trPr/>
        <w:tc>
          <w:tcPr>
            <w:tcW w:w="2239" w:type="dxa"/>
            <w:tcBorders>
              <w:top w:val="outset" w:sz="6" w:space="0" w:color="000000"/>
              <w:left w:val="outset" w:sz="6" w:space="0" w:color="000000"/>
              <w:bottom w:val="outset" w:sz="6" w:space="0" w:color="000000"/>
              <w:right w:val="outset" w:sz="6" w:space="0" w:color="000000"/>
            </w:tcBorders>
            <w:vAlign w:val="center"/>
          </w:tcPr>
          <w:p>
            <w:pPr>
              <w:pStyle w:val="Normal"/>
              <w:widowControl w:val="false"/>
              <w:spacing w:lineRule="auto" w:line="276" w:before="120" w:after="120"/>
              <w:ind w:left="0" w:right="-30" w:hanging="0"/>
              <w:jc w:val="center"/>
              <w:rPr>
                <w:rFonts w:cs="Arial"/>
                <w:szCs w:val="20"/>
              </w:rPr>
            </w:pPr>
            <w:r>
              <w:rPr>
                <w:rFonts w:cs="Arial"/>
                <w:szCs w:val="20"/>
              </w:rPr>
              <w:t>10</w:t>
            </w:r>
          </w:p>
        </w:tc>
        <w:tc>
          <w:tcPr>
            <w:tcW w:w="4981" w:type="dxa"/>
            <w:tcBorders>
              <w:top w:val="outset" w:sz="6" w:space="0" w:color="000000"/>
              <w:left w:val="outset" w:sz="6" w:space="0" w:color="000000"/>
              <w:bottom w:val="outset" w:sz="6" w:space="0" w:color="000000"/>
              <w:right w:val="outset" w:sz="6" w:space="0" w:color="000000"/>
            </w:tcBorders>
          </w:tcPr>
          <w:p>
            <w:pPr>
              <w:pStyle w:val="Normal"/>
              <w:widowControl w:val="false"/>
              <w:spacing w:lineRule="auto" w:line="276" w:before="120" w:after="120"/>
              <w:ind w:left="0" w:right="-30" w:hanging="0"/>
              <w:jc w:val="center"/>
              <w:rPr>
                <w:rFonts w:cs="Arial"/>
                <w:szCs w:val="20"/>
              </w:rPr>
            </w:pPr>
            <w:r>
              <w:rPr>
                <w:rFonts w:cs="Arial"/>
                <w:szCs w:val="20"/>
              </w:rPr>
              <w:t>Indicar e manter durante a execução do contrato os prepostos previstos no edital/contrato;</w:t>
            </w:r>
          </w:p>
        </w:tc>
        <w:tc>
          <w:tcPr>
            <w:tcW w:w="1960" w:type="dxa"/>
            <w:tcBorders>
              <w:top w:val="outset" w:sz="6" w:space="0" w:color="000000"/>
              <w:left w:val="outset" w:sz="6" w:space="0" w:color="000000"/>
              <w:bottom w:val="outset" w:sz="6" w:space="0" w:color="000000"/>
              <w:right w:val="outset" w:sz="6" w:space="0" w:color="000000"/>
            </w:tcBorders>
            <w:vAlign w:val="center"/>
          </w:tcPr>
          <w:p>
            <w:pPr>
              <w:pStyle w:val="Normal"/>
              <w:widowControl w:val="false"/>
              <w:spacing w:lineRule="auto" w:line="276" w:before="120" w:after="120"/>
              <w:ind w:left="0" w:right="-30" w:hanging="0"/>
              <w:jc w:val="center"/>
              <w:rPr>
                <w:rFonts w:cs="Arial"/>
                <w:szCs w:val="20"/>
              </w:rPr>
            </w:pPr>
            <w:r>
              <w:rPr>
                <w:rFonts w:cs="Arial"/>
                <w:szCs w:val="20"/>
              </w:rPr>
              <w:t>01</w:t>
            </w:r>
          </w:p>
        </w:tc>
      </w:tr>
      <w:tr>
        <w:trPr/>
        <w:tc>
          <w:tcPr>
            <w:tcW w:w="2239" w:type="dxa"/>
            <w:tcBorders>
              <w:top w:val="outset" w:sz="6" w:space="0" w:color="000000"/>
              <w:left w:val="outset" w:sz="6" w:space="0" w:color="000000"/>
              <w:bottom w:val="outset" w:sz="6" w:space="0" w:color="000000"/>
              <w:right w:val="outset" w:sz="6" w:space="0" w:color="000000"/>
            </w:tcBorders>
            <w:vAlign w:val="center"/>
          </w:tcPr>
          <w:p>
            <w:pPr>
              <w:pStyle w:val="Normal"/>
              <w:widowControl w:val="false"/>
              <w:spacing w:lineRule="auto" w:line="276" w:before="120" w:after="120"/>
              <w:ind w:left="0" w:right="-30" w:hanging="0"/>
              <w:jc w:val="center"/>
              <w:rPr>
                <w:rFonts w:cs="Arial"/>
                <w:szCs w:val="20"/>
              </w:rPr>
            </w:pPr>
            <w:r>
              <w:rPr>
                <w:rFonts w:cs="Arial"/>
                <w:szCs w:val="20"/>
              </w:rPr>
              <w:t>11</w:t>
            </w:r>
          </w:p>
        </w:tc>
        <w:tc>
          <w:tcPr>
            <w:tcW w:w="4981" w:type="dxa"/>
            <w:tcBorders>
              <w:top w:val="outset" w:sz="6" w:space="0" w:color="000000"/>
              <w:left w:val="outset" w:sz="6" w:space="0" w:color="000000"/>
              <w:bottom w:val="outset" w:sz="6" w:space="0" w:color="000000"/>
              <w:right w:val="outset" w:sz="6" w:space="0" w:color="000000"/>
            </w:tcBorders>
          </w:tcPr>
          <w:p>
            <w:pPr>
              <w:pStyle w:val="Normal"/>
              <w:widowControl w:val="false"/>
              <w:spacing w:lineRule="auto" w:line="276" w:before="120" w:after="120"/>
              <w:ind w:left="0" w:right="-30" w:hanging="0"/>
              <w:jc w:val="center"/>
              <w:rPr>
                <w:rFonts w:cs="Arial"/>
                <w:szCs w:val="20"/>
              </w:rPr>
            </w:pPr>
            <w:r>
              <w:rPr>
                <w:rFonts w:cs="Arial"/>
                <w:szCs w:val="20"/>
              </w:rPr>
              <w:t>Providenciar treinamento para seus funcionários conforme previsto na relação de obrigações da CONTRATADA</w:t>
            </w:r>
          </w:p>
        </w:tc>
        <w:tc>
          <w:tcPr>
            <w:tcW w:w="1960" w:type="dxa"/>
            <w:tcBorders>
              <w:top w:val="outset" w:sz="6" w:space="0" w:color="000000"/>
              <w:left w:val="outset" w:sz="6" w:space="0" w:color="000000"/>
              <w:bottom w:val="outset" w:sz="6" w:space="0" w:color="000000"/>
              <w:right w:val="outset" w:sz="6" w:space="0" w:color="000000"/>
            </w:tcBorders>
            <w:vAlign w:val="center"/>
          </w:tcPr>
          <w:p>
            <w:pPr>
              <w:pStyle w:val="Normal"/>
              <w:widowControl w:val="false"/>
              <w:spacing w:lineRule="auto" w:line="276" w:before="120" w:after="120"/>
              <w:ind w:left="0" w:right="-30" w:hanging="0"/>
              <w:jc w:val="center"/>
              <w:rPr>
                <w:rFonts w:cs="Arial"/>
                <w:szCs w:val="20"/>
              </w:rPr>
            </w:pPr>
            <w:r>
              <w:rPr>
                <w:rFonts w:cs="Arial"/>
                <w:szCs w:val="20"/>
              </w:rPr>
              <w:t>01</w:t>
            </w:r>
          </w:p>
        </w:tc>
      </w:tr>
    </w:tbl>
    <w:p>
      <w:pPr>
        <w:pStyle w:val="Normal"/>
        <w:numPr>
          <w:ilvl w:val="1"/>
          <w:numId w:val="2"/>
        </w:numPr>
        <w:spacing w:lineRule="auto" w:line="276" w:before="120" w:after="120"/>
        <w:ind w:left="716" w:right="-30" w:hanging="432"/>
        <w:jc w:val="both"/>
        <w:rPr>
          <w:rFonts w:cs="Arial"/>
          <w:szCs w:val="20"/>
        </w:rPr>
      </w:pPr>
      <w:r>
        <w:rPr>
          <w:rFonts w:cs="Arial"/>
          <w:szCs w:val="20"/>
        </w:rPr>
        <w:t>Também ficam sujeitas às penalidades do art. 87, III e IV da Lei nº 8.666, de 1993, as empresas ou profissionais que:</w:t>
      </w:r>
    </w:p>
    <w:p>
      <w:pPr>
        <w:pStyle w:val="Normal"/>
        <w:numPr>
          <w:ilvl w:val="2"/>
          <w:numId w:val="2"/>
        </w:numPr>
        <w:spacing w:lineRule="auto" w:line="276" w:before="120" w:after="120"/>
        <w:ind w:left="1781" w:right="-30" w:hanging="504"/>
        <w:jc w:val="both"/>
        <w:rPr>
          <w:rFonts w:cs="Arial"/>
          <w:szCs w:val="20"/>
        </w:rPr>
      </w:pPr>
      <w:r>
        <w:rPr>
          <w:rFonts w:cs="Arial"/>
          <w:szCs w:val="20"/>
        </w:rPr>
        <w:t>tenham sofrido condenação definitiva por praticar, por meio dolosos, fraude fiscal no recolhimento de quaisquer tributos;</w:t>
      </w:r>
    </w:p>
    <w:p>
      <w:pPr>
        <w:pStyle w:val="Normal"/>
        <w:numPr>
          <w:ilvl w:val="2"/>
          <w:numId w:val="2"/>
        </w:numPr>
        <w:spacing w:lineRule="auto" w:line="276" w:before="120" w:after="120"/>
        <w:ind w:left="1781" w:right="-30" w:hanging="504"/>
        <w:jc w:val="both"/>
        <w:rPr>
          <w:rFonts w:cs="Arial"/>
          <w:szCs w:val="20"/>
        </w:rPr>
      </w:pPr>
      <w:r>
        <w:rPr>
          <w:rFonts w:cs="Arial"/>
          <w:szCs w:val="20"/>
        </w:rPr>
        <w:t>tenham praticado atos ilícitos visando a frustrar os objetivos da licitação;</w:t>
      </w:r>
    </w:p>
    <w:p>
      <w:pPr>
        <w:pStyle w:val="Normal"/>
        <w:numPr>
          <w:ilvl w:val="2"/>
          <w:numId w:val="2"/>
        </w:numPr>
        <w:spacing w:lineRule="auto" w:line="276" w:before="120" w:after="120"/>
        <w:ind w:left="1781" w:right="-30" w:hanging="504"/>
        <w:jc w:val="both"/>
        <w:rPr>
          <w:rFonts w:cs="Arial"/>
          <w:szCs w:val="20"/>
        </w:rPr>
      </w:pPr>
      <w:r>
        <w:rPr>
          <w:rFonts w:cs="Arial"/>
          <w:szCs w:val="20"/>
        </w:rPr>
        <w:t xml:space="preserve">demonstrem não possuir idoneidade para contratar com a Administração em virtude de atos ilícitos praticados. </w:t>
      </w:r>
    </w:p>
    <w:p>
      <w:pPr>
        <w:pStyle w:val="Normal"/>
        <w:numPr>
          <w:ilvl w:val="1"/>
          <w:numId w:val="2"/>
        </w:numPr>
        <w:spacing w:lineRule="auto" w:line="276" w:before="120" w:after="120"/>
        <w:ind w:left="716" w:right="-30" w:hanging="432"/>
        <w:jc w:val="both"/>
        <w:rPr>
          <w:rFonts w:cs="Arial"/>
          <w:szCs w:val="20"/>
        </w:rPr>
      </w:pPr>
      <w:r>
        <w:rPr>
          <w:rFonts w:cs="Arial"/>
          <w:szCs w:val="20"/>
        </w:rPr>
        <w:t>A aplicação de qualquer das penalidades previstas realizar-se-á em processo administrativo que assegurará o contraditório e a ampla defesa à CONTRATADA, observando-se o procedimento previsto na Lei nº 8.666, de 1993, e subsidiariamente a Lei nº 9.784, de 1999.</w:t>
      </w:r>
    </w:p>
    <w:p>
      <w:pPr>
        <w:pStyle w:val="Normal"/>
        <w:numPr>
          <w:ilvl w:val="1"/>
          <w:numId w:val="2"/>
        </w:numPr>
        <w:spacing w:lineRule="auto" w:line="276" w:before="120" w:after="120"/>
        <w:ind w:left="716" w:right="-30" w:hanging="432"/>
        <w:jc w:val="both"/>
        <w:rPr>
          <w:szCs w:val="20"/>
        </w:rPr>
      </w:pPr>
      <w:r>
        <w:rPr>
          <w:szCs w:val="20"/>
        </w:rPr>
        <w:t>As multas devidas e/ou prejuízos causados à Contratante serão deduzidos dos valores a serem pagos, ou recolhidos em favor da União, ou deduzidos da garantia, ou ainda, quando for o caso, serão inscritos na Dívida Ativa da União e cobrados judicialmente.</w:t>
      </w:r>
    </w:p>
    <w:p>
      <w:pPr>
        <w:pStyle w:val="Normal"/>
        <w:numPr>
          <w:ilvl w:val="2"/>
          <w:numId w:val="2"/>
        </w:numPr>
        <w:spacing w:lineRule="auto" w:line="276" w:before="120" w:after="120"/>
        <w:ind w:left="1781" w:right="-30" w:hanging="504"/>
        <w:jc w:val="both"/>
        <w:rPr>
          <w:szCs w:val="20"/>
        </w:rPr>
      </w:pPr>
      <w:r>
        <w:rPr>
          <w:szCs w:val="20"/>
        </w:rPr>
        <w:t>Caso a Contratante determine, a multa deverá ser recolhida no prazo máximo de 30 (trinta) dias, a contar da data do recebimento da comunicação enviada pela autoridade competente.</w:t>
      </w:r>
    </w:p>
    <w:p>
      <w:pPr>
        <w:pStyle w:val="Normal"/>
        <w:numPr>
          <w:ilvl w:val="1"/>
          <w:numId w:val="2"/>
        </w:numPr>
        <w:spacing w:lineRule="auto" w:line="276" w:before="120" w:after="120"/>
        <w:ind w:left="716" w:right="-30" w:hanging="432"/>
        <w:jc w:val="both"/>
        <w:rPr/>
      </w:pPr>
      <w:r>
        <w:rPr/>
        <w:t xml:space="preserve">Caso o valor da multa não seja suficiente para cobrir os prejuízos causados pela conduta </w:t>
      </w:r>
      <w:r>
        <w:rPr>
          <w:szCs w:val="20"/>
        </w:rPr>
        <w:t>do</w:t>
      </w:r>
      <w:r>
        <w:rPr/>
        <w:t xml:space="preserve"> licitante, a União ou Entidade poderá cobrar o valor remanescente judicialmente, conforme artigo 419 do Código Civil.</w:t>
      </w:r>
    </w:p>
    <w:p>
      <w:pPr>
        <w:pStyle w:val="Normal"/>
        <w:numPr>
          <w:ilvl w:val="1"/>
          <w:numId w:val="2"/>
        </w:numPr>
        <w:spacing w:lineRule="auto" w:line="276" w:before="120" w:after="120"/>
        <w:ind w:left="716" w:right="-30" w:hanging="432"/>
        <w:jc w:val="both"/>
        <w:rPr/>
      </w:pPr>
      <w:r>
        <w:rPr/>
        <w:t>A autoridade competente, na aplicação das sanções, levará em consideração a gravidade da conduta do infrator, o caráter educativo da pena, bem como o dano causado à Administração, observado o princípio da proporcionalidade.</w:t>
      </w:r>
    </w:p>
    <w:p>
      <w:pPr>
        <w:pStyle w:val="Nivel2"/>
        <w:numPr>
          <w:ilvl w:val="1"/>
          <w:numId w:val="2"/>
        </w:numPr>
        <w:rPr/>
      </w:pPr>
      <w:r>
        <w:rPr>
          <w:rFonts w:cs="Arial" w:ascii="Arial" w:hAnsi="Arial"/>
        </w:rPr>
        <w:t xml:space="preserve">Se, durante o processo de aplicação de penalidade, se houver indícios de prática de infração administrativa tipificada pela Lei nº 12.846, de 1º de agosto de 2013, como ato lesivo à administração pública nacional ou estrangeira, cópias do processo administrativo necessárias à apuração da responsabilidade da empresa deverão ser remetidas à autoridade competente, com despacho fundamentado, para ciência e decisão sobre a eventual instauração de investigação preliminar ou Processo Administrativo de Responsabilização - PAR. </w:t>
      </w:r>
    </w:p>
    <w:p>
      <w:pPr>
        <w:pStyle w:val="Nivel2"/>
        <w:numPr>
          <w:ilvl w:val="1"/>
          <w:numId w:val="2"/>
        </w:numPr>
        <w:rPr>
          <w:rFonts w:ascii="Arial" w:hAnsi="Arial" w:cs="Arial"/>
        </w:rPr>
      </w:pPr>
      <w:r>
        <w:rPr>
          <w:rFonts w:cs="Arial" w:ascii="Arial" w:hAnsi="Arial"/>
        </w:rPr>
        <w:t>A apuração e o julgamento das demais infrações administrativas não consideradas como ato lesivo à Administração Pública nacional ou estrangeira nos termos da Lei nº 12.846, de 1º de agosto de 2013, seguirão seu rito normal na unidade administrativa.</w:t>
      </w:r>
    </w:p>
    <w:p>
      <w:pPr>
        <w:pStyle w:val="Nivel2"/>
        <w:numPr>
          <w:ilvl w:val="1"/>
          <w:numId w:val="2"/>
        </w:numPr>
        <w:rPr>
          <w:rFonts w:ascii="Arial" w:hAnsi="Arial" w:cs="Arial"/>
        </w:rPr>
      </w:pPr>
      <w:r>
        <w:rPr>
          <w:rFonts w:cs="Arial" w:ascii="Arial" w:hAnsi="Arial"/>
        </w:rPr>
        <w:t xml:space="preserve">O processamento do PAR não interfere no seguimento regular dos processos administrativos específicos para apuração da ocorrência de danos e prejuízos à Administração Pública Federal resultantes de ato lesivo cometido por pessoa jurídica, com ou sem a participação de agente público. </w:t>
      </w:r>
    </w:p>
    <w:p>
      <w:pPr>
        <w:pStyle w:val="Normal"/>
        <w:numPr>
          <w:ilvl w:val="1"/>
          <w:numId w:val="2"/>
        </w:numPr>
        <w:spacing w:lineRule="auto" w:line="276" w:before="120" w:after="120"/>
        <w:ind w:left="716" w:right="-30" w:hanging="432"/>
        <w:jc w:val="both"/>
        <w:rPr>
          <w:rFonts w:cs="Arial"/>
          <w:szCs w:val="20"/>
        </w:rPr>
      </w:pPr>
      <w:r>
        <w:rPr>
          <w:rFonts w:cs="Arial"/>
          <w:szCs w:val="20"/>
        </w:rPr>
        <w:t>As penalidades serão obrigatoriamente registradas no SICAF.</w:t>
      </w:r>
    </w:p>
    <w:p>
      <w:pPr>
        <w:pStyle w:val="Nivel1"/>
        <w:numPr>
          <w:ilvl w:val="0"/>
          <w:numId w:val="2"/>
        </w:numPr>
        <w:spacing w:before="480" w:after="240"/>
        <w:rPr>
          <w:rFonts w:cs="Arial"/>
          <w:bCs/>
        </w:rPr>
      </w:pPr>
      <w:r>
        <w:rPr>
          <w:rFonts w:cs="Arial"/>
          <w:bCs/>
        </w:rPr>
        <w:t>CRITÉRIOS DE SELEÇÃO DO FORNECEDOR.</w:t>
      </w:r>
    </w:p>
    <w:p>
      <w:pPr>
        <w:pStyle w:val="Nivel1"/>
        <w:numPr>
          <w:ilvl w:val="1"/>
          <w:numId w:val="2"/>
        </w:numPr>
        <w:spacing w:before="480" w:after="240"/>
        <w:rPr/>
      </w:pPr>
      <w:r>
        <w:rPr>
          <w:b w:val="false"/>
          <w:color w:val="000009"/>
        </w:rPr>
        <w:t>As</w:t>
      </w:r>
      <w:r>
        <w:rPr>
          <w:b w:val="false"/>
          <w:color w:val="000009"/>
          <w:spacing w:val="8"/>
        </w:rPr>
        <w:t xml:space="preserve"> </w:t>
      </w:r>
      <w:r>
        <w:rPr>
          <w:b w:val="false"/>
          <w:color w:val="000009"/>
        </w:rPr>
        <w:t>exigências</w:t>
      </w:r>
      <w:r>
        <w:rPr>
          <w:b w:val="false"/>
          <w:color w:val="000009"/>
          <w:spacing w:val="8"/>
        </w:rPr>
        <w:t xml:space="preserve"> </w:t>
      </w:r>
      <w:r>
        <w:rPr>
          <w:b w:val="false"/>
          <w:color w:val="000009"/>
        </w:rPr>
        <w:t>de</w:t>
      </w:r>
      <w:r>
        <w:rPr>
          <w:b w:val="false"/>
          <w:color w:val="000009"/>
          <w:spacing w:val="7"/>
        </w:rPr>
        <w:t xml:space="preserve"> </w:t>
      </w:r>
      <w:r>
        <w:rPr>
          <w:b w:val="false"/>
          <w:color w:val="000009"/>
        </w:rPr>
        <w:t>habilitação</w:t>
      </w:r>
      <w:r>
        <w:rPr>
          <w:b w:val="false"/>
          <w:color w:val="000009"/>
          <w:spacing w:val="9"/>
        </w:rPr>
        <w:t xml:space="preserve"> </w:t>
      </w:r>
      <w:r>
        <w:rPr>
          <w:b w:val="false"/>
          <w:color w:val="000009"/>
        </w:rPr>
        <w:t>jurídica</w:t>
      </w:r>
      <w:r>
        <w:rPr>
          <w:b w:val="false"/>
          <w:color w:val="000009"/>
          <w:spacing w:val="9"/>
        </w:rPr>
        <w:t xml:space="preserve"> </w:t>
      </w:r>
      <w:r>
        <w:rPr>
          <w:b w:val="false"/>
          <w:color w:val="000009"/>
        </w:rPr>
        <w:t>e</w:t>
      </w:r>
      <w:r>
        <w:rPr>
          <w:b w:val="false"/>
          <w:color w:val="000009"/>
          <w:spacing w:val="9"/>
        </w:rPr>
        <w:t xml:space="preserve"> </w:t>
      </w:r>
      <w:r>
        <w:rPr>
          <w:b w:val="false"/>
          <w:color w:val="000009"/>
        </w:rPr>
        <w:t>de</w:t>
      </w:r>
      <w:r>
        <w:rPr>
          <w:b w:val="false"/>
          <w:color w:val="000009"/>
          <w:spacing w:val="9"/>
        </w:rPr>
        <w:t xml:space="preserve"> </w:t>
      </w:r>
      <w:r>
        <w:rPr>
          <w:b w:val="false"/>
          <w:color w:val="000009"/>
        </w:rPr>
        <w:t>regularidade</w:t>
      </w:r>
      <w:r>
        <w:rPr>
          <w:b w:val="false"/>
          <w:color w:val="000009"/>
          <w:spacing w:val="9"/>
        </w:rPr>
        <w:t xml:space="preserve"> </w:t>
      </w:r>
      <w:r>
        <w:rPr>
          <w:b w:val="false"/>
          <w:color w:val="000009"/>
        </w:rPr>
        <w:t>fiscal</w:t>
      </w:r>
      <w:r>
        <w:rPr>
          <w:b w:val="false"/>
          <w:color w:val="000009"/>
          <w:spacing w:val="11"/>
        </w:rPr>
        <w:t xml:space="preserve"> </w:t>
      </w:r>
      <w:r>
        <w:rPr>
          <w:b w:val="false"/>
          <w:color w:val="000009"/>
        </w:rPr>
        <w:t>e</w:t>
      </w:r>
      <w:r>
        <w:rPr>
          <w:b w:val="false"/>
          <w:color w:val="000009"/>
          <w:spacing w:val="7"/>
        </w:rPr>
        <w:t xml:space="preserve"> </w:t>
      </w:r>
      <w:r>
        <w:rPr>
          <w:b w:val="false"/>
          <w:color w:val="000009"/>
        </w:rPr>
        <w:t>trabalhista</w:t>
      </w:r>
      <w:r>
        <w:rPr>
          <w:b w:val="false"/>
          <w:color w:val="000009"/>
          <w:spacing w:val="11"/>
        </w:rPr>
        <w:t xml:space="preserve"> </w:t>
      </w:r>
      <w:r>
        <w:rPr>
          <w:b w:val="false"/>
          <w:color w:val="000009"/>
        </w:rPr>
        <w:t>são</w:t>
      </w:r>
      <w:r>
        <w:rPr>
          <w:b w:val="false"/>
          <w:color w:val="000009"/>
          <w:spacing w:val="9"/>
        </w:rPr>
        <w:t xml:space="preserve"> </w:t>
      </w:r>
      <w:r>
        <w:rPr>
          <w:b w:val="false"/>
          <w:color w:val="000009"/>
        </w:rPr>
        <w:t>as</w:t>
      </w:r>
      <w:r>
        <w:rPr>
          <w:b w:val="false"/>
          <w:color w:val="000009"/>
          <w:spacing w:val="8"/>
        </w:rPr>
        <w:t xml:space="preserve"> </w:t>
      </w:r>
      <w:r>
        <w:rPr>
          <w:b w:val="false"/>
          <w:color w:val="000009"/>
        </w:rPr>
        <w:t>usuais</w:t>
      </w:r>
      <w:r>
        <w:rPr>
          <w:b w:val="false"/>
          <w:color w:val="000009"/>
          <w:spacing w:val="10"/>
        </w:rPr>
        <w:t xml:space="preserve"> </w:t>
      </w:r>
      <w:r>
        <w:rPr>
          <w:b w:val="false"/>
          <w:color w:val="000009"/>
        </w:rPr>
        <w:t>para</w:t>
      </w:r>
      <w:r>
        <w:rPr>
          <w:b w:val="false"/>
          <w:color w:val="000009"/>
          <w:spacing w:val="9"/>
        </w:rPr>
        <w:t xml:space="preserve"> </w:t>
      </w:r>
      <w:r>
        <w:rPr>
          <w:b w:val="false"/>
          <w:color w:val="000009"/>
        </w:rPr>
        <w:t>a</w:t>
      </w:r>
      <w:r>
        <w:rPr>
          <w:b w:val="false"/>
          <w:color w:val="000009"/>
          <w:spacing w:val="-43"/>
        </w:rPr>
        <w:t xml:space="preserve"> </w:t>
      </w:r>
      <w:r>
        <w:rPr>
          <w:b w:val="false"/>
          <w:color w:val="000009"/>
        </w:rPr>
        <w:t>generalidade</w:t>
      </w:r>
      <w:r>
        <w:rPr>
          <w:b w:val="false"/>
          <w:color w:val="000009"/>
          <w:spacing w:val="-1"/>
        </w:rPr>
        <w:t xml:space="preserve"> </w:t>
      </w:r>
      <w:r>
        <w:rPr>
          <w:b w:val="false"/>
          <w:color w:val="000009"/>
        </w:rPr>
        <w:t>dos objetos,</w:t>
      </w:r>
      <w:r>
        <w:rPr>
          <w:b w:val="false"/>
          <w:color w:val="000009"/>
          <w:spacing w:val="-1"/>
        </w:rPr>
        <w:t xml:space="preserve"> </w:t>
      </w:r>
      <w:r>
        <w:rPr>
          <w:b w:val="false"/>
          <w:color w:val="000009"/>
        </w:rPr>
        <w:t>conforme</w:t>
      </w:r>
      <w:r>
        <w:rPr>
          <w:b w:val="false"/>
          <w:color w:val="000009"/>
          <w:spacing w:val="-1"/>
        </w:rPr>
        <w:t xml:space="preserve"> </w:t>
      </w:r>
      <w:r>
        <w:rPr>
          <w:b w:val="false"/>
          <w:color w:val="000009"/>
        </w:rPr>
        <w:t>disciplinado</w:t>
      </w:r>
      <w:r>
        <w:rPr>
          <w:b w:val="false"/>
          <w:color w:val="000009"/>
          <w:spacing w:val="-1"/>
        </w:rPr>
        <w:t xml:space="preserve"> </w:t>
      </w:r>
      <w:r>
        <w:rPr>
          <w:b w:val="false"/>
          <w:color w:val="000009"/>
        </w:rPr>
        <w:t>no</w:t>
      </w:r>
      <w:r>
        <w:rPr>
          <w:b w:val="false"/>
          <w:color w:val="000009"/>
          <w:spacing w:val="-1"/>
        </w:rPr>
        <w:t xml:space="preserve"> </w:t>
      </w:r>
      <w:r>
        <w:rPr>
          <w:b w:val="false"/>
          <w:color w:val="000009"/>
        </w:rPr>
        <w:t>edital.</w:t>
      </w:r>
    </w:p>
    <w:p>
      <w:pPr>
        <w:pStyle w:val="ListParagraph"/>
        <w:widowControl w:val="false"/>
        <w:numPr>
          <w:ilvl w:val="1"/>
          <w:numId w:val="2"/>
        </w:numPr>
        <w:tabs>
          <w:tab w:val="clear" w:pos="708"/>
          <w:tab w:val="left" w:pos="1423" w:leader="none"/>
          <w:tab w:val="left" w:pos="1424" w:leader="none"/>
        </w:tabs>
        <w:spacing w:lineRule="auto" w:line="264" w:before="123" w:after="0"/>
        <w:ind w:left="716" w:right="186" w:hanging="432"/>
        <w:contextualSpacing/>
        <w:jc w:val="both"/>
        <w:rPr/>
      </w:pPr>
      <w:r>
        <w:rPr>
          <w:color w:val="000009"/>
        </w:rPr>
        <w:t>Os</w:t>
      </w:r>
      <w:r>
        <w:rPr>
          <w:color w:val="000009"/>
          <w:spacing w:val="-7"/>
        </w:rPr>
        <w:t xml:space="preserve"> </w:t>
      </w:r>
      <w:r>
        <w:rPr>
          <w:color w:val="000009"/>
        </w:rPr>
        <w:t>critérios</w:t>
      </w:r>
      <w:r>
        <w:rPr>
          <w:color w:val="000009"/>
          <w:spacing w:val="-6"/>
        </w:rPr>
        <w:t xml:space="preserve"> </w:t>
      </w:r>
      <w:r>
        <w:rPr>
          <w:color w:val="000009"/>
        </w:rPr>
        <w:t>de</w:t>
      </w:r>
      <w:r>
        <w:rPr>
          <w:color w:val="000009"/>
          <w:spacing w:val="-7"/>
        </w:rPr>
        <w:t xml:space="preserve"> </w:t>
      </w:r>
      <w:r>
        <w:rPr>
          <w:color w:val="000009"/>
        </w:rPr>
        <w:t>qualificação</w:t>
      </w:r>
      <w:r>
        <w:rPr>
          <w:color w:val="000009"/>
          <w:spacing w:val="-7"/>
        </w:rPr>
        <w:t xml:space="preserve"> </w:t>
      </w:r>
      <w:r>
        <w:rPr>
          <w:color w:val="000009"/>
        </w:rPr>
        <w:t>econômico-financeira</w:t>
      </w:r>
      <w:r>
        <w:rPr>
          <w:color w:val="000009"/>
          <w:spacing w:val="-6"/>
        </w:rPr>
        <w:t xml:space="preserve"> </w:t>
      </w:r>
      <w:r>
        <w:rPr>
          <w:color w:val="000009"/>
        </w:rPr>
        <w:t>a</w:t>
      </w:r>
      <w:r>
        <w:rPr>
          <w:color w:val="000009"/>
          <w:spacing w:val="-7"/>
        </w:rPr>
        <w:t xml:space="preserve"> </w:t>
      </w:r>
      <w:r>
        <w:rPr>
          <w:color w:val="000009"/>
        </w:rPr>
        <w:t>serem</w:t>
      </w:r>
      <w:r>
        <w:rPr>
          <w:color w:val="000009"/>
          <w:spacing w:val="-6"/>
        </w:rPr>
        <w:t xml:space="preserve"> </w:t>
      </w:r>
      <w:r>
        <w:rPr>
          <w:color w:val="000009"/>
        </w:rPr>
        <w:t>atendidos</w:t>
      </w:r>
      <w:r>
        <w:rPr>
          <w:color w:val="000009"/>
          <w:spacing w:val="-6"/>
        </w:rPr>
        <w:t xml:space="preserve"> </w:t>
      </w:r>
      <w:r>
        <w:rPr>
          <w:color w:val="000009"/>
        </w:rPr>
        <w:t>pelo</w:t>
      </w:r>
      <w:r>
        <w:rPr>
          <w:color w:val="000009"/>
          <w:spacing w:val="-7"/>
        </w:rPr>
        <w:t xml:space="preserve"> </w:t>
      </w:r>
      <w:r>
        <w:rPr>
          <w:color w:val="000009"/>
        </w:rPr>
        <w:t>fornecedor</w:t>
      </w:r>
      <w:r>
        <w:rPr>
          <w:color w:val="000009"/>
          <w:spacing w:val="-6"/>
        </w:rPr>
        <w:t xml:space="preserve"> </w:t>
      </w:r>
      <w:r>
        <w:rPr>
          <w:color w:val="000009"/>
        </w:rPr>
        <w:t>estão</w:t>
      </w:r>
      <w:r>
        <w:rPr>
          <w:color w:val="000009"/>
          <w:spacing w:val="-5"/>
        </w:rPr>
        <w:t xml:space="preserve"> </w:t>
      </w:r>
      <w:r>
        <w:rPr>
          <w:color w:val="000009"/>
        </w:rPr>
        <w:t>previstos</w:t>
      </w:r>
      <w:r>
        <w:rPr>
          <w:color w:val="000009"/>
          <w:spacing w:val="-6"/>
        </w:rPr>
        <w:t xml:space="preserve"> </w:t>
      </w:r>
      <w:r>
        <w:rPr>
          <w:color w:val="000009"/>
        </w:rPr>
        <w:t>no</w:t>
      </w:r>
      <w:r>
        <w:rPr>
          <w:color w:val="000009"/>
          <w:spacing w:val="-42"/>
        </w:rPr>
        <w:t xml:space="preserve"> </w:t>
      </w:r>
      <w:r>
        <w:rPr>
          <w:color w:val="000009"/>
        </w:rPr>
        <w:t>edital.</w:t>
      </w:r>
    </w:p>
    <w:p>
      <w:pPr>
        <w:sectPr>
          <w:footerReference w:type="default" r:id="rId4"/>
          <w:type w:val="nextPage"/>
          <w:pgSz w:w="11906" w:h="16838"/>
          <w:pgMar w:left="1000" w:right="900" w:gutter="0" w:header="0" w:top="1380" w:footer="933" w:bottom="1120"/>
          <w:pgNumType w:fmt="decimal"/>
          <w:formProt w:val="false"/>
          <w:textDirection w:val="lrTb"/>
          <w:docGrid w:type="default" w:linePitch="272" w:charSpace="8192"/>
        </w:sectPr>
        <w:pStyle w:val="ListParagraph"/>
        <w:widowControl w:val="false"/>
        <w:numPr>
          <w:ilvl w:val="1"/>
          <w:numId w:val="2"/>
        </w:numPr>
        <w:tabs>
          <w:tab w:val="clear" w:pos="708"/>
          <w:tab w:val="left" w:pos="1423" w:leader="none"/>
          <w:tab w:val="left" w:pos="1424" w:leader="none"/>
        </w:tabs>
        <w:spacing w:before="126" w:after="0"/>
        <w:contextualSpacing/>
        <w:jc w:val="both"/>
        <w:rPr/>
      </w:pPr>
      <w:r>
        <w:rPr>
          <w:color w:val="000009"/>
        </w:rPr>
        <w:t>Os</w:t>
      </w:r>
      <w:r>
        <w:rPr>
          <w:color w:val="000009"/>
          <w:spacing w:val="-6"/>
        </w:rPr>
        <w:t xml:space="preserve"> </w:t>
      </w:r>
      <w:r>
        <w:rPr>
          <w:color w:val="000009"/>
        </w:rPr>
        <w:t>critérios</w:t>
      </w:r>
      <w:r>
        <w:rPr>
          <w:color w:val="000009"/>
          <w:spacing w:val="-5"/>
        </w:rPr>
        <w:t xml:space="preserve"> </w:t>
      </w:r>
      <w:r>
        <w:rPr>
          <w:color w:val="000009"/>
        </w:rPr>
        <w:t>de</w:t>
      </w:r>
      <w:r>
        <w:rPr>
          <w:color w:val="000009"/>
          <w:spacing w:val="-6"/>
        </w:rPr>
        <w:t xml:space="preserve"> </w:t>
      </w:r>
      <w:r>
        <w:rPr>
          <w:color w:val="000009"/>
        </w:rPr>
        <w:t>qualificação</w:t>
      </w:r>
      <w:r>
        <w:rPr>
          <w:color w:val="000009"/>
          <w:spacing w:val="-5"/>
        </w:rPr>
        <w:t xml:space="preserve"> </w:t>
      </w:r>
      <w:r>
        <w:rPr>
          <w:color w:val="000009"/>
        </w:rPr>
        <w:t>técnica</w:t>
      </w:r>
      <w:r>
        <w:rPr>
          <w:color w:val="000009"/>
          <w:spacing w:val="-5"/>
        </w:rPr>
        <w:t xml:space="preserve"> </w:t>
      </w:r>
      <w:r>
        <w:rPr>
          <w:color w:val="000009"/>
        </w:rPr>
        <w:t>a</w:t>
      </w:r>
      <w:r>
        <w:rPr>
          <w:color w:val="000009"/>
          <w:spacing w:val="-7"/>
        </w:rPr>
        <w:t xml:space="preserve"> </w:t>
      </w:r>
      <w:r>
        <w:rPr>
          <w:color w:val="000009"/>
        </w:rPr>
        <w:t>serem</w:t>
      </w:r>
      <w:r>
        <w:rPr>
          <w:color w:val="000009"/>
          <w:spacing w:val="-6"/>
        </w:rPr>
        <w:t xml:space="preserve"> </w:t>
      </w:r>
      <w:r>
        <w:rPr>
          <w:color w:val="000009"/>
        </w:rPr>
        <w:t>atendidos</w:t>
      </w:r>
      <w:r>
        <w:rPr>
          <w:color w:val="000009"/>
          <w:spacing w:val="-5"/>
        </w:rPr>
        <w:t xml:space="preserve"> </w:t>
      </w:r>
      <w:r>
        <w:rPr>
          <w:color w:val="000009"/>
        </w:rPr>
        <w:t>pelo</w:t>
      </w:r>
      <w:r>
        <w:rPr>
          <w:color w:val="000009"/>
          <w:spacing w:val="-6"/>
        </w:rPr>
        <w:t xml:space="preserve"> </w:t>
      </w:r>
      <w:r>
        <w:rPr>
          <w:color w:val="000009"/>
        </w:rPr>
        <w:t>fornecedor</w:t>
      </w:r>
      <w:r>
        <w:rPr>
          <w:color w:val="000009"/>
          <w:spacing w:val="-7"/>
        </w:rPr>
        <w:t xml:space="preserve"> </w:t>
      </w:r>
      <w:r>
        <w:rPr>
          <w:color w:val="000009"/>
        </w:rPr>
        <w:t>serão:</w:t>
      </w:r>
    </w:p>
    <w:p>
      <w:pPr>
        <w:pStyle w:val="ListParagraph"/>
        <w:widowControl w:val="false"/>
        <w:numPr>
          <w:ilvl w:val="2"/>
          <w:numId w:val="8"/>
        </w:numPr>
        <w:tabs>
          <w:tab w:val="clear" w:pos="708"/>
          <w:tab w:val="left" w:pos="856" w:leader="none"/>
        </w:tabs>
        <w:spacing w:lineRule="auto" w:line="271" w:before="39" w:after="0"/>
        <w:ind w:left="135" w:right="804" w:hanging="0"/>
        <w:contextualSpacing w:val="false"/>
        <w:jc w:val="both"/>
        <w:rPr/>
      </w:pPr>
      <w:r>
        <w:rPr/>
        <w:t xml:space="preserve">   </w:t>
      </w:r>
      <w:r>
        <w:rPr/>
        <w:t>Comprovação de aptidão para a prestação dos serviços</w:t>
      </w:r>
      <w:r>
        <w:rPr>
          <w:spacing w:val="1"/>
        </w:rPr>
        <w:t xml:space="preserve"> </w:t>
      </w:r>
      <w:r>
        <w:rPr/>
        <w:t>em</w:t>
      </w:r>
      <w:r>
        <w:rPr>
          <w:spacing w:val="1"/>
        </w:rPr>
        <w:t xml:space="preserve"> </w:t>
      </w:r>
      <w:r>
        <w:rPr/>
        <w:t>características,</w:t>
      </w:r>
      <w:r>
        <w:rPr>
          <w:spacing w:val="1"/>
        </w:rPr>
        <w:t xml:space="preserve"> </w:t>
      </w:r>
      <w:r>
        <w:rPr/>
        <w:t>quantidades e prazos</w:t>
      </w:r>
      <w:r>
        <w:rPr>
          <w:spacing w:val="1"/>
        </w:rPr>
        <w:t xml:space="preserve"> </w:t>
      </w:r>
      <w:r>
        <w:rPr/>
        <w:t>compatíveis com o objeto desta licitação, ou com o item pertinente, mediante a apresentação de atestado(s)</w:t>
      </w:r>
      <w:r>
        <w:rPr>
          <w:spacing w:val="1"/>
        </w:rPr>
        <w:t xml:space="preserve"> </w:t>
      </w:r>
      <w:r>
        <w:rPr/>
        <w:t>fornecido(s)</w:t>
      </w:r>
      <w:r>
        <w:rPr>
          <w:spacing w:val="-2"/>
        </w:rPr>
        <w:t xml:space="preserve"> </w:t>
      </w:r>
      <w:r>
        <w:rPr/>
        <w:t>por pessoas</w:t>
      </w:r>
      <w:r>
        <w:rPr>
          <w:spacing w:val="-1"/>
        </w:rPr>
        <w:t xml:space="preserve"> </w:t>
      </w:r>
      <w:r>
        <w:rPr/>
        <w:t>jurídicas de</w:t>
      </w:r>
      <w:r>
        <w:rPr>
          <w:spacing w:val="-2"/>
        </w:rPr>
        <w:t xml:space="preserve"> </w:t>
      </w:r>
      <w:r>
        <w:rPr/>
        <w:t>direito público</w:t>
      </w:r>
      <w:r>
        <w:rPr>
          <w:spacing w:val="-1"/>
        </w:rPr>
        <w:t xml:space="preserve"> </w:t>
      </w:r>
      <w:r>
        <w:rPr/>
        <w:t>ou</w:t>
      </w:r>
      <w:r>
        <w:rPr>
          <w:spacing w:val="-1"/>
        </w:rPr>
        <w:t xml:space="preserve"> </w:t>
      </w:r>
      <w:r>
        <w:rPr/>
        <w:t>privado.</w:t>
      </w:r>
    </w:p>
    <w:p>
      <w:pPr>
        <w:pStyle w:val="ListParagraph"/>
        <w:widowControl w:val="false"/>
        <w:numPr>
          <w:ilvl w:val="3"/>
          <w:numId w:val="8"/>
        </w:numPr>
        <w:tabs>
          <w:tab w:val="clear" w:pos="708"/>
          <w:tab w:val="left" w:pos="856" w:leader="none"/>
        </w:tabs>
        <w:spacing w:lineRule="auto" w:line="276" w:before="125" w:after="0"/>
        <w:ind w:left="135" w:right="811" w:hanging="0"/>
        <w:contextualSpacing w:val="false"/>
        <w:jc w:val="both"/>
        <w:rPr/>
      </w:pPr>
      <w:r>
        <w:rPr/>
        <w:t xml:space="preserve">   </w:t>
      </w:r>
      <w:r>
        <w:rPr/>
        <w:t>Para fins da comprovação de que trata este subitem, os atestados deverão dizer respeito a serviços</w:t>
      </w:r>
      <w:r>
        <w:rPr>
          <w:spacing w:val="1"/>
        </w:rPr>
        <w:t xml:space="preserve"> </w:t>
      </w:r>
      <w:r>
        <w:rPr/>
        <w:t>executados</w:t>
      </w:r>
      <w:r>
        <w:rPr>
          <w:spacing w:val="-1"/>
        </w:rPr>
        <w:t xml:space="preserve"> </w:t>
      </w:r>
      <w:r>
        <w:rPr/>
        <w:t>com</w:t>
      </w:r>
      <w:r>
        <w:rPr>
          <w:spacing w:val="-2"/>
        </w:rPr>
        <w:t xml:space="preserve"> </w:t>
      </w:r>
      <w:r>
        <w:rPr/>
        <w:t>as</w:t>
      </w:r>
      <w:r>
        <w:rPr>
          <w:spacing w:val="-1"/>
        </w:rPr>
        <w:t xml:space="preserve"> </w:t>
      </w:r>
      <w:r>
        <w:rPr/>
        <w:t>seguintes características</w:t>
      </w:r>
      <w:r>
        <w:rPr>
          <w:spacing w:val="-1"/>
        </w:rPr>
        <w:t xml:space="preserve"> </w:t>
      </w:r>
      <w:r>
        <w:rPr/>
        <w:t>mínimas:</w:t>
      </w:r>
    </w:p>
    <w:p>
      <w:pPr>
        <w:pStyle w:val="ListParagraph"/>
        <w:widowControl w:val="false"/>
        <w:numPr>
          <w:ilvl w:val="4"/>
          <w:numId w:val="8"/>
        </w:numPr>
        <w:tabs>
          <w:tab w:val="clear" w:pos="708"/>
          <w:tab w:val="left" w:pos="1156" w:leader="none"/>
        </w:tabs>
        <w:spacing w:before="119" w:after="0"/>
        <w:ind w:left="135" w:right="808" w:hanging="0"/>
        <w:contextualSpacing w:val="false"/>
        <w:jc w:val="both"/>
        <w:rPr/>
      </w:pPr>
      <w:r>
        <w:rPr/>
        <w:t>Dos itens 1 a 5: atestado(s) de capacidade técnica com percentual mínimo de fornecimento de</w:t>
      </w:r>
      <w:r>
        <w:rPr>
          <w:spacing w:val="1"/>
        </w:rPr>
        <w:t xml:space="preserve"> </w:t>
      </w:r>
      <w:r>
        <w:rPr/>
        <w:t xml:space="preserve">20%, que indique(m) já ter à </w:t>
      </w:r>
      <w:r>
        <w:rPr>
          <w:color w:val="000009"/>
        </w:rPr>
        <w:t>empresa prestado, a instituição pública ou privada, serviço de características</w:t>
      </w:r>
      <w:r>
        <w:rPr>
          <w:color w:val="000009"/>
          <w:spacing w:val="1"/>
        </w:rPr>
        <w:t xml:space="preserve"> </w:t>
      </w:r>
      <w:r>
        <w:rPr>
          <w:color w:val="000009"/>
        </w:rPr>
        <w:t>semelhantes, ou seja, pelo menos com os mesmos elementos componentes (Incisos II e IV e § 4º do Art. 30 da</w:t>
      </w:r>
      <w:r>
        <w:rPr>
          <w:color w:val="000009"/>
          <w:spacing w:val="1"/>
        </w:rPr>
        <w:t xml:space="preserve"> </w:t>
      </w:r>
      <w:r>
        <w:rPr>
          <w:color w:val="000009"/>
        </w:rPr>
        <w:t>Lei 8666, de 1993).</w:t>
      </w:r>
    </w:p>
    <w:p>
      <w:pPr>
        <w:pStyle w:val="ListParagraph"/>
        <w:widowControl w:val="false"/>
        <w:numPr>
          <w:ilvl w:val="3"/>
          <w:numId w:val="8"/>
        </w:numPr>
        <w:tabs>
          <w:tab w:val="clear" w:pos="708"/>
          <w:tab w:val="left" w:pos="856" w:leader="none"/>
        </w:tabs>
        <w:spacing w:lineRule="auto" w:line="276" w:before="119" w:after="0"/>
        <w:ind w:left="135" w:right="814" w:hanging="0"/>
        <w:contextualSpacing w:val="false"/>
        <w:jc w:val="both"/>
        <w:rPr/>
      </w:pPr>
      <w:r>
        <w:rPr/>
        <w:t xml:space="preserve">      </w:t>
      </w:r>
      <w:r>
        <w:rPr/>
        <w:t>Os atestados deverão referir-se a serviços prestados no âmbito de sua atividade econômica principal</w:t>
      </w:r>
      <w:r>
        <w:rPr>
          <w:spacing w:val="1"/>
        </w:rPr>
        <w:t xml:space="preserve"> </w:t>
      </w:r>
      <w:r>
        <w:rPr/>
        <w:t>ou</w:t>
      </w:r>
      <w:r>
        <w:rPr>
          <w:spacing w:val="-2"/>
        </w:rPr>
        <w:t xml:space="preserve"> </w:t>
      </w:r>
      <w:r>
        <w:rPr/>
        <w:t>secundária especificadas</w:t>
      </w:r>
      <w:r>
        <w:rPr>
          <w:spacing w:val="-1"/>
        </w:rPr>
        <w:t xml:space="preserve"> </w:t>
      </w:r>
      <w:r>
        <w:rPr/>
        <w:t>no contrato</w:t>
      </w:r>
      <w:r>
        <w:rPr>
          <w:spacing w:val="-1"/>
        </w:rPr>
        <w:t xml:space="preserve"> </w:t>
      </w:r>
      <w:r>
        <w:rPr/>
        <w:t>social vigente;</w:t>
      </w:r>
    </w:p>
    <w:p>
      <w:pPr>
        <w:pStyle w:val="ListParagraph"/>
        <w:widowControl w:val="false"/>
        <w:numPr>
          <w:ilvl w:val="3"/>
          <w:numId w:val="8"/>
        </w:numPr>
        <w:tabs>
          <w:tab w:val="clear" w:pos="708"/>
          <w:tab w:val="left" w:pos="856" w:leader="none"/>
        </w:tabs>
        <w:spacing w:lineRule="auto" w:line="276" w:before="119" w:after="0"/>
        <w:ind w:left="135" w:right="802" w:hanging="0"/>
        <w:contextualSpacing w:val="false"/>
        <w:jc w:val="both"/>
        <w:rPr/>
      </w:pPr>
      <w:r>
        <w:rPr/>
        <w:t xml:space="preserve">      </w:t>
      </w:r>
      <w:r>
        <w:rPr/>
        <w:t>Somente</w:t>
      </w:r>
      <w:r>
        <w:rPr>
          <w:spacing w:val="-7"/>
        </w:rPr>
        <w:t xml:space="preserve"> </w:t>
      </w:r>
      <w:r>
        <w:rPr/>
        <w:t>serão</w:t>
      </w:r>
      <w:r>
        <w:rPr>
          <w:spacing w:val="-6"/>
        </w:rPr>
        <w:t xml:space="preserve"> </w:t>
      </w:r>
      <w:r>
        <w:rPr/>
        <w:t>aceitos</w:t>
      </w:r>
      <w:r>
        <w:rPr>
          <w:spacing w:val="-6"/>
        </w:rPr>
        <w:t xml:space="preserve"> </w:t>
      </w:r>
      <w:r>
        <w:rPr/>
        <w:t>atestados</w:t>
      </w:r>
      <w:r>
        <w:rPr>
          <w:spacing w:val="-6"/>
        </w:rPr>
        <w:t xml:space="preserve"> </w:t>
      </w:r>
      <w:r>
        <w:rPr/>
        <w:t>expedidos</w:t>
      </w:r>
      <w:r>
        <w:rPr>
          <w:spacing w:val="-6"/>
        </w:rPr>
        <w:t xml:space="preserve"> </w:t>
      </w:r>
      <w:r>
        <w:rPr/>
        <w:t>após</w:t>
      </w:r>
      <w:r>
        <w:rPr>
          <w:spacing w:val="-6"/>
        </w:rPr>
        <w:t xml:space="preserve"> </w:t>
      </w:r>
      <w:r>
        <w:rPr/>
        <w:t>a</w:t>
      </w:r>
      <w:r>
        <w:rPr>
          <w:spacing w:val="-8"/>
        </w:rPr>
        <w:t xml:space="preserve"> </w:t>
      </w:r>
      <w:r>
        <w:rPr/>
        <w:t>conclusão</w:t>
      </w:r>
      <w:r>
        <w:rPr>
          <w:spacing w:val="-6"/>
        </w:rPr>
        <w:t xml:space="preserve"> </w:t>
      </w:r>
      <w:r>
        <w:rPr/>
        <w:t>do</w:t>
      </w:r>
      <w:r>
        <w:rPr>
          <w:spacing w:val="-6"/>
        </w:rPr>
        <w:t xml:space="preserve"> </w:t>
      </w:r>
      <w:r>
        <w:rPr/>
        <w:t>contrato</w:t>
      </w:r>
      <w:r>
        <w:rPr>
          <w:spacing w:val="-6"/>
        </w:rPr>
        <w:t xml:space="preserve"> </w:t>
      </w:r>
      <w:r>
        <w:rPr/>
        <w:t>ou</w:t>
      </w:r>
      <w:r>
        <w:rPr>
          <w:spacing w:val="-7"/>
        </w:rPr>
        <w:t xml:space="preserve"> </w:t>
      </w:r>
      <w:r>
        <w:rPr/>
        <w:t>se</w:t>
      </w:r>
      <w:r>
        <w:rPr>
          <w:spacing w:val="-6"/>
        </w:rPr>
        <w:t xml:space="preserve"> </w:t>
      </w:r>
      <w:r>
        <w:rPr/>
        <w:t>decorrido,</w:t>
      </w:r>
      <w:r>
        <w:rPr>
          <w:spacing w:val="-6"/>
        </w:rPr>
        <w:t xml:space="preserve"> </w:t>
      </w:r>
      <w:r>
        <w:rPr/>
        <w:t>pelo</w:t>
      </w:r>
      <w:r>
        <w:rPr>
          <w:spacing w:val="-7"/>
        </w:rPr>
        <w:t xml:space="preserve"> </w:t>
      </w:r>
      <w:r>
        <w:rPr/>
        <w:t>menos,</w:t>
      </w:r>
      <w:r>
        <w:rPr>
          <w:spacing w:val="-43"/>
        </w:rPr>
        <w:t xml:space="preserve"> </w:t>
      </w:r>
      <w:r>
        <w:rPr/>
        <w:t>um ano do início de sua execução, exceto se firmado para ser executado em prazo inferior, conforme item 10.8</w:t>
      </w:r>
      <w:r>
        <w:rPr>
          <w:spacing w:val="-43"/>
        </w:rPr>
        <w:t xml:space="preserve">  </w:t>
      </w:r>
      <w:r>
        <w:rPr/>
        <w:t>do</w:t>
      </w:r>
      <w:r>
        <w:rPr>
          <w:spacing w:val="-2"/>
        </w:rPr>
        <w:t xml:space="preserve"> </w:t>
      </w:r>
      <w:r>
        <w:rPr/>
        <w:t>Anexo VII-A da IN</w:t>
      </w:r>
      <w:r>
        <w:rPr>
          <w:spacing w:val="-2"/>
        </w:rPr>
        <w:t xml:space="preserve"> </w:t>
      </w:r>
      <w:r>
        <w:rPr/>
        <w:t>SEGES/MP</w:t>
      </w:r>
      <w:r>
        <w:rPr>
          <w:spacing w:val="1"/>
        </w:rPr>
        <w:t xml:space="preserve"> </w:t>
      </w:r>
      <w:r>
        <w:rPr/>
        <w:t>n.</w:t>
      </w:r>
      <w:r>
        <w:rPr>
          <w:spacing w:val="-2"/>
        </w:rPr>
        <w:t xml:space="preserve"> </w:t>
      </w:r>
      <w:r>
        <w:rPr/>
        <w:t>5,</w:t>
      </w:r>
      <w:r>
        <w:rPr>
          <w:spacing w:val="-2"/>
        </w:rPr>
        <w:t xml:space="preserve"> </w:t>
      </w:r>
      <w:r>
        <w:rPr/>
        <w:t>de</w:t>
      </w:r>
      <w:r>
        <w:rPr>
          <w:spacing w:val="-2"/>
        </w:rPr>
        <w:t xml:space="preserve"> </w:t>
      </w:r>
      <w:r>
        <w:rPr/>
        <w:t>2017.</w:t>
      </w:r>
    </w:p>
    <w:p>
      <w:pPr>
        <w:pStyle w:val="ListParagraph"/>
        <w:widowControl w:val="false"/>
        <w:numPr>
          <w:ilvl w:val="3"/>
          <w:numId w:val="8"/>
        </w:numPr>
        <w:tabs>
          <w:tab w:val="clear" w:pos="708"/>
          <w:tab w:val="left" w:pos="856" w:leader="none"/>
        </w:tabs>
        <w:spacing w:lineRule="auto" w:line="276" w:before="117" w:after="0"/>
        <w:ind w:left="135" w:right="805" w:hanging="0"/>
        <w:contextualSpacing w:val="false"/>
        <w:jc w:val="both"/>
        <w:rPr/>
      </w:pPr>
      <w:r>
        <w:rPr/>
        <w:t xml:space="preserve">      </w:t>
      </w:r>
      <w:r>
        <w:rPr/>
        <w:t>Poderá ser admitida, para fins de comprovação de quantitativo mínimo do serviço, a apresentação de</w:t>
      </w:r>
      <w:r>
        <w:rPr>
          <w:spacing w:val="1"/>
        </w:rPr>
        <w:t xml:space="preserve"> </w:t>
      </w:r>
      <w:r>
        <w:rPr/>
        <w:t>diferentes</w:t>
      </w:r>
      <w:r>
        <w:rPr>
          <w:spacing w:val="-5"/>
        </w:rPr>
        <w:t xml:space="preserve"> </w:t>
      </w:r>
      <w:r>
        <w:rPr/>
        <w:t>atestados</w:t>
      </w:r>
      <w:r>
        <w:rPr>
          <w:spacing w:val="-6"/>
        </w:rPr>
        <w:t xml:space="preserve"> </w:t>
      </w:r>
      <w:r>
        <w:rPr/>
        <w:t>de</w:t>
      </w:r>
      <w:r>
        <w:rPr>
          <w:spacing w:val="-5"/>
        </w:rPr>
        <w:t xml:space="preserve"> </w:t>
      </w:r>
      <w:r>
        <w:rPr/>
        <w:t>serviços</w:t>
      </w:r>
      <w:r>
        <w:rPr>
          <w:spacing w:val="-5"/>
        </w:rPr>
        <w:t xml:space="preserve"> </w:t>
      </w:r>
      <w:r>
        <w:rPr/>
        <w:t>executados</w:t>
      </w:r>
      <w:r>
        <w:rPr>
          <w:spacing w:val="-5"/>
        </w:rPr>
        <w:t xml:space="preserve"> </w:t>
      </w:r>
      <w:r>
        <w:rPr/>
        <w:t>de</w:t>
      </w:r>
      <w:r>
        <w:rPr>
          <w:spacing w:val="-6"/>
        </w:rPr>
        <w:t xml:space="preserve"> </w:t>
      </w:r>
      <w:r>
        <w:rPr/>
        <w:t>forma</w:t>
      </w:r>
      <w:r>
        <w:rPr>
          <w:spacing w:val="-6"/>
        </w:rPr>
        <w:t xml:space="preserve"> </w:t>
      </w:r>
      <w:r>
        <w:rPr/>
        <w:t>concomitante,</w:t>
      </w:r>
      <w:r>
        <w:rPr>
          <w:spacing w:val="-4"/>
        </w:rPr>
        <w:t xml:space="preserve"> </w:t>
      </w:r>
      <w:r>
        <w:rPr/>
        <w:t>pois</w:t>
      </w:r>
      <w:r>
        <w:rPr>
          <w:spacing w:val="-6"/>
        </w:rPr>
        <w:t xml:space="preserve"> </w:t>
      </w:r>
      <w:r>
        <w:rPr/>
        <w:t>essa</w:t>
      </w:r>
      <w:r>
        <w:rPr>
          <w:spacing w:val="-4"/>
        </w:rPr>
        <w:t xml:space="preserve"> </w:t>
      </w:r>
      <w:r>
        <w:rPr/>
        <w:t>situação</w:t>
      </w:r>
      <w:r>
        <w:rPr>
          <w:spacing w:val="-6"/>
        </w:rPr>
        <w:t xml:space="preserve"> </w:t>
      </w:r>
      <w:r>
        <w:rPr/>
        <w:t>se</w:t>
      </w:r>
      <w:r>
        <w:rPr>
          <w:spacing w:val="-4"/>
        </w:rPr>
        <w:t xml:space="preserve"> </w:t>
      </w:r>
      <w:r>
        <w:rPr/>
        <w:t>equivale,</w:t>
      </w:r>
      <w:r>
        <w:rPr>
          <w:spacing w:val="-6"/>
        </w:rPr>
        <w:t xml:space="preserve"> </w:t>
      </w:r>
      <w:r>
        <w:rPr/>
        <w:t>para</w:t>
      </w:r>
      <w:r>
        <w:rPr>
          <w:spacing w:val="-4"/>
        </w:rPr>
        <w:t xml:space="preserve"> </w:t>
      </w:r>
      <w:r>
        <w:rPr/>
        <w:t>fins</w:t>
      </w:r>
      <w:r>
        <w:rPr>
          <w:spacing w:val="-6"/>
        </w:rPr>
        <w:t xml:space="preserve"> </w:t>
      </w:r>
      <w:r>
        <w:rPr/>
        <w:t>de</w:t>
      </w:r>
      <w:r>
        <w:rPr>
          <w:spacing w:val="-43"/>
        </w:rPr>
        <w:t xml:space="preserve"> </w:t>
      </w:r>
      <w:r>
        <w:rPr/>
        <w:t>comprovação de capacidade técnico-operacional, a uma única contratação, nos termos do item 10.9 do Anexo</w:t>
      </w:r>
      <w:r>
        <w:rPr>
          <w:spacing w:val="1"/>
        </w:rPr>
        <w:t xml:space="preserve"> </w:t>
      </w:r>
      <w:r>
        <w:rPr/>
        <w:t>VII-A</w:t>
      </w:r>
      <w:r>
        <w:rPr>
          <w:spacing w:val="-3"/>
        </w:rPr>
        <w:t xml:space="preserve"> </w:t>
      </w:r>
      <w:r>
        <w:rPr/>
        <w:t>da</w:t>
      </w:r>
      <w:r>
        <w:rPr>
          <w:spacing w:val="-2"/>
        </w:rPr>
        <w:t xml:space="preserve"> </w:t>
      </w:r>
      <w:r>
        <w:rPr/>
        <w:t>IN</w:t>
      </w:r>
      <w:r>
        <w:rPr>
          <w:spacing w:val="1"/>
        </w:rPr>
        <w:t xml:space="preserve"> </w:t>
      </w:r>
      <w:r>
        <w:rPr/>
        <w:t>SEGES/MP</w:t>
      </w:r>
      <w:r>
        <w:rPr>
          <w:spacing w:val="-1"/>
        </w:rPr>
        <w:t xml:space="preserve"> </w:t>
      </w:r>
      <w:r>
        <w:rPr/>
        <w:t>n. 5/2017.</w:t>
      </w:r>
    </w:p>
    <w:p>
      <w:pPr>
        <w:pStyle w:val="ListParagraph"/>
        <w:widowControl w:val="false"/>
        <w:numPr>
          <w:ilvl w:val="3"/>
          <w:numId w:val="8"/>
        </w:numPr>
        <w:tabs>
          <w:tab w:val="clear" w:pos="708"/>
          <w:tab w:val="left" w:pos="856" w:leader="none"/>
        </w:tabs>
        <w:spacing w:lineRule="auto" w:line="276" w:before="117" w:after="0"/>
        <w:ind w:left="135" w:right="802" w:hanging="0"/>
        <w:contextualSpacing w:val="false"/>
        <w:jc w:val="both"/>
        <w:rPr/>
      </w:pPr>
      <w:r>
        <w:rPr/>
        <w:t xml:space="preserve">      </w:t>
      </w:r>
      <w:r>
        <w:rPr/>
        <w:t>O</w:t>
      </w:r>
      <w:r>
        <w:rPr>
          <w:spacing w:val="1"/>
        </w:rPr>
        <w:t xml:space="preserve"> </w:t>
      </w:r>
      <w:r>
        <w:rPr/>
        <w:t>licitante</w:t>
      </w:r>
      <w:r>
        <w:rPr>
          <w:spacing w:val="1"/>
        </w:rPr>
        <w:t xml:space="preserve"> </w:t>
      </w:r>
      <w:r>
        <w:rPr/>
        <w:t>disponibilizará</w:t>
      </w:r>
      <w:r>
        <w:rPr>
          <w:spacing w:val="1"/>
        </w:rPr>
        <w:t xml:space="preserve"> </w:t>
      </w:r>
      <w:r>
        <w:rPr/>
        <w:t>todas</w:t>
      </w:r>
      <w:r>
        <w:rPr>
          <w:spacing w:val="1"/>
        </w:rPr>
        <w:t xml:space="preserve"> </w:t>
      </w:r>
      <w:r>
        <w:rPr/>
        <w:t>as</w:t>
      </w:r>
      <w:r>
        <w:rPr>
          <w:spacing w:val="1"/>
        </w:rPr>
        <w:t xml:space="preserve"> </w:t>
      </w:r>
      <w:r>
        <w:rPr/>
        <w:t>informações</w:t>
      </w:r>
      <w:r>
        <w:rPr>
          <w:spacing w:val="1"/>
        </w:rPr>
        <w:t xml:space="preserve"> </w:t>
      </w:r>
      <w:r>
        <w:rPr/>
        <w:t>necessárias</w:t>
      </w:r>
      <w:r>
        <w:rPr>
          <w:spacing w:val="1"/>
        </w:rPr>
        <w:t xml:space="preserve"> </w:t>
      </w:r>
      <w:r>
        <w:rPr/>
        <w:t>à</w:t>
      </w:r>
      <w:r>
        <w:rPr>
          <w:spacing w:val="1"/>
        </w:rPr>
        <w:t xml:space="preserve"> </w:t>
      </w:r>
      <w:r>
        <w:rPr/>
        <w:t>comprovação</w:t>
      </w:r>
      <w:r>
        <w:rPr>
          <w:spacing w:val="1"/>
        </w:rPr>
        <w:t xml:space="preserve"> </w:t>
      </w:r>
      <w:r>
        <w:rPr/>
        <w:t>da</w:t>
      </w:r>
      <w:r>
        <w:rPr>
          <w:spacing w:val="1"/>
        </w:rPr>
        <w:t xml:space="preserve"> </w:t>
      </w:r>
      <w:r>
        <w:rPr/>
        <w:t>legitimidade</w:t>
      </w:r>
      <w:r>
        <w:rPr>
          <w:spacing w:val="1"/>
        </w:rPr>
        <w:t xml:space="preserve"> </w:t>
      </w:r>
      <w:r>
        <w:rPr/>
        <w:t>dos</w:t>
      </w:r>
      <w:r>
        <w:rPr>
          <w:spacing w:val="1"/>
        </w:rPr>
        <w:t xml:space="preserve"> </w:t>
      </w:r>
      <w:r>
        <w:rPr/>
        <w:t>atestados apresentados,</w:t>
      </w:r>
      <w:r>
        <w:rPr>
          <w:spacing w:val="1"/>
        </w:rPr>
        <w:t xml:space="preserve"> </w:t>
      </w:r>
      <w:r>
        <w:rPr/>
        <w:t>apresentando,</w:t>
      </w:r>
      <w:r>
        <w:rPr>
          <w:spacing w:val="1"/>
        </w:rPr>
        <w:t xml:space="preserve"> </w:t>
      </w:r>
      <w:r>
        <w:rPr/>
        <w:t>dentre</w:t>
      </w:r>
      <w:r>
        <w:rPr>
          <w:spacing w:val="1"/>
        </w:rPr>
        <w:t xml:space="preserve"> </w:t>
      </w:r>
      <w:r>
        <w:rPr/>
        <w:t>outros documentos,</w:t>
      </w:r>
      <w:r>
        <w:rPr>
          <w:spacing w:val="1"/>
        </w:rPr>
        <w:t xml:space="preserve"> </w:t>
      </w:r>
      <w:r>
        <w:rPr/>
        <w:t>cópia</w:t>
      </w:r>
      <w:r>
        <w:rPr>
          <w:spacing w:val="1"/>
        </w:rPr>
        <w:t xml:space="preserve"> </w:t>
      </w:r>
      <w:r>
        <w:rPr/>
        <w:t>do</w:t>
      </w:r>
      <w:r>
        <w:rPr>
          <w:spacing w:val="1"/>
        </w:rPr>
        <w:t xml:space="preserve"> </w:t>
      </w:r>
      <w:r>
        <w:rPr/>
        <w:t>contrato</w:t>
      </w:r>
      <w:r>
        <w:rPr>
          <w:spacing w:val="1"/>
        </w:rPr>
        <w:t xml:space="preserve"> </w:t>
      </w:r>
      <w:r>
        <w:rPr/>
        <w:t>que</w:t>
      </w:r>
      <w:r>
        <w:rPr>
          <w:spacing w:val="1"/>
        </w:rPr>
        <w:t xml:space="preserve"> </w:t>
      </w:r>
      <w:r>
        <w:rPr/>
        <w:t>deu</w:t>
      </w:r>
      <w:r>
        <w:rPr>
          <w:spacing w:val="1"/>
        </w:rPr>
        <w:t xml:space="preserve"> </w:t>
      </w:r>
      <w:r>
        <w:rPr/>
        <w:t>suporte</w:t>
      </w:r>
      <w:r>
        <w:rPr>
          <w:spacing w:val="1"/>
        </w:rPr>
        <w:t xml:space="preserve"> </w:t>
      </w:r>
      <w:r>
        <w:rPr/>
        <w:t>à</w:t>
      </w:r>
      <w:r>
        <w:rPr>
          <w:spacing w:val="1"/>
        </w:rPr>
        <w:t xml:space="preserve"> </w:t>
      </w:r>
      <w:r>
        <w:rPr/>
        <w:t>contratação, endereço atual da contratante e local em que foram prestados os serviços, consoante o disposto</w:t>
      </w:r>
      <w:r>
        <w:rPr>
          <w:spacing w:val="1"/>
        </w:rPr>
        <w:t xml:space="preserve"> </w:t>
      </w:r>
      <w:r>
        <w:rPr/>
        <w:t>no</w:t>
      </w:r>
      <w:r>
        <w:rPr>
          <w:spacing w:val="-2"/>
        </w:rPr>
        <w:t xml:space="preserve"> </w:t>
      </w:r>
      <w:r>
        <w:rPr/>
        <w:t>item 10.10</w:t>
      </w:r>
      <w:r>
        <w:rPr>
          <w:spacing w:val="-2"/>
        </w:rPr>
        <w:t xml:space="preserve"> </w:t>
      </w:r>
      <w:r>
        <w:rPr/>
        <w:t>do</w:t>
      </w:r>
      <w:r>
        <w:rPr>
          <w:spacing w:val="-1"/>
        </w:rPr>
        <w:t xml:space="preserve"> </w:t>
      </w:r>
      <w:r>
        <w:rPr/>
        <w:t>Anexo VII-A</w:t>
      </w:r>
      <w:r>
        <w:rPr>
          <w:spacing w:val="-1"/>
        </w:rPr>
        <w:t xml:space="preserve"> </w:t>
      </w:r>
      <w:r>
        <w:rPr/>
        <w:t>da IN</w:t>
      </w:r>
      <w:r>
        <w:rPr>
          <w:spacing w:val="1"/>
        </w:rPr>
        <w:t xml:space="preserve"> </w:t>
      </w:r>
      <w:r>
        <w:rPr/>
        <w:t>SEGES/MP n.</w:t>
      </w:r>
      <w:r>
        <w:rPr>
          <w:spacing w:val="-2"/>
        </w:rPr>
        <w:t xml:space="preserve"> </w:t>
      </w:r>
      <w:r>
        <w:rPr/>
        <w:t>5/2017.</w:t>
      </w:r>
    </w:p>
    <w:p>
      <w:pPr>
        <w:pStyle w:val="ListParagraph"/>
        <w:widowControl w:val="false"/>
        <w:numPr>
          <w:ilvl w:val="1"/>
          <w:numId w:val="2"/>
        </w:numPr>
        <w:tabs>
          <w:tab w:val="clear" w:pos="708"/>
          <w:tab w:val="left" w:pos="855" w:leader="none"/>
          <w:tab w:val="left" w:pos="856" w:leader="none"/>
        </w:tabs>
        <w:spacing w:before="117" w:after="0"/>
        <w:ind w:left="856" w:right="0" w:hanging="721"/>
        <w:contextualSpacing w:val="false"/>
        <w:jc w:val="both"/>
        <w:rPr/>
      </w:pPr>
      <w:r>
        <w:rPr/>
        <w:t>Os</w:t>
      </w:r>
      <w:r>
        <w:rPr>
          <w:spacing w:val="-6"/>
        </w:rPr>
        <w:t xml:space="preserve"> </w:t>
      </w:r>
      <w:r>
        <w:rPr/>
        <w:t>critérios</w:t>
      </w:r>
      <w:r>
        <w:rPr>
          <w:spacing w:val="-6"/>
        </w:rPr>
        <w:t xml:space="preserve"> </w:t>
      </w:r>
      <w:r>
        <w:rPr/>
        <w:t>de</w:t>
      </w:r>
      <w:r>
        <w:rPr>
          <w:spacing w:val="-7"/>
        </w:rPr>
        <w:t xml:space="preserve"> </w:t>
      </w:r>
      <w:r>
        <w:rPr/>
        <w:t>aceitabilidade</w:t>
      </w:r>
      <w:r>
        <w:rPr>
          <w:spacing w:val="-6"/>
        </w:rPr>
        <w:t xml:space="preserve"> </w:t>
      </w:r>
      <w:r>
        <w:rPr/>
        <w:t>de</w:t>
      </w:r>
      <w:r>
        <w:rPr>
          <w:spacing w:val="-6"/>
        </w:rPr>
        <w:t xml:space="preserve"> </w:t>
      </w:r>
      <w:r>
        <w:rPr/>
        <w:t>preços</w:t>
      </w:r>
      <w:r>
        <w:rPr>
          <w:spacing w:val="-7"/>
        </w:rPr>
        <w:t xml:space="preserve"> </w:t>
      </w:r>
      <w:r>
        <w:rPr/>
        <w:t>serão:</w:t>
      </w:r>
    </w:p>
    <w:p>
      <w:pPr>
        <w:pStyle w:val="ListParagraph"/>
        <w:widowControl w:val="false"/>
        <w:numPr>
          <w:ilvl w:val="1"/>
          <w:numId w:val="2"/>
        </w:numPr>
        <w:tabs>
          <w:tab w:val="clear" w:pos="708"/>
          <w:tab w:val="left" w:pos="855" w:leader="none"/>
          <w:tab w:val="left" w:pos="856" w:leader="none"/>
        </w:tabs>
        <w:spacing w:before="163" w:after="0"/>
        <w:ind w:left="856" w:right="0" w:hanging="721"/>
        <w:contextualSpacing w:val="false"/>
        <w:jc w:val="both"/>
        <w:rPr/>
      </w:pPr>
      <w:r>
        <w:rPr/>
        <w:t>O</w:t>
      </w:r>
      <w:r>
        <w:rPr>
          <w:spacing w:val="-5"/>
        </w:rPr>
        <w:t xml:space="preserve"> </w:t>
      </w:r>
      <w:r>
        <w:rPr/>
        <w:t>critério</w:t>
      </w:r>
      <w:r>
        <w:rPr>
          <w:spacing w:val="-5"/>
        </w:rPr>
        <w:t xml:space="preserve"> </w:t>
      </w:r>
      <w:r>
        <w:rPr/>
        <w:t>de</w:t>
      </w:r>
      <w:r>
        <w:rPr>
          <w:spacing w:val="-6"/>
        </w:rPr>
        <w:t xml:space="preserve"> </w:t>
      </w:r>
      <w:r>
        <w:rPr/>
        <w:t>julgamento</w:t>
      </w:r>
      <w:r>
        <w:rPr>
          <w:spacing w:val="-4"/>
        </w:rPr>
        <w:t xml:space="preserve"> </w:t>
      </w:r>
      <w:r>
        <w:rPr/>
        <w:t>da</w:t>
      </w:r>
      <w:r>
        <w:rPr>
          <w:spacing w:val="-4"/>
        </w:rPr>
        <w:t xml:space="preserve"> </w:t>
      </w:r>
      <w:r>
        <w:rPr/>
        <w:t>proposta</w:t>
      </w:r>
      <w:r>
        <w:rPr>
          <w:spacing w:val="-7"/>
        </w:rPr>
        <w:t xml:space="preserve"> </w:t>
      </w:r>
      <w:r>
        <w:rPr/>
        <w:t>é</w:t>
      </w:r>
      <w:r>
        <w:rPr>
          <w:spacing w:val="-4"/>
        </w:rPr>
        <w:t xml:space="preserve"> </w:t>
      </w:r>
      <w:r>
        <w:rPr/>
        <w:t>o</w:t>
      </w:r>
      <w:r>
        <w:rPr>
          <w:spacing w:val="-5"/>
        </w:rPr>
        <w:t xml:space="preserve"> </w:t>
      </w:r>
      <w:r>
        <w:rPr/>
        <w:t>menor</w:t>
      </w:r>
      <w:r>
        <w:rPr>
          <w:spacing w:val="-7"/>
        </w:rPr>
        <w:t xml:space="preserve"> </w:t>
      </w:r>
      <w:r>
        <w:rPr/>
        <w:t>preço</w:t>
      </w:r>
      <w:r>
        <w:rPr>
          <w:spacing w:val="-4"/>
        </w:rPr>
        <w:t xml:space="preserve"> </w:t>
      </w:r>
      <w:r>
        <w:rPr/>
        <w:t>unitário.</w:t>
      </w:r>
    </w:p>
    <w:p>
      <w:pPr>
        <w:pStyle w:val="ListParagraph"/>
        <w:widowControl w:val="false"/>
        <w:numPr>
          <w:ilvl w:val="1"/>
          <w:numId w:val="2"/>
        </w:numPr>
        <w:tabs>
          <w:tab w:val="clear" w:pos="708"/>
          <w:tab w:val="left" w:pos="855" w:leader="none"/>
          <w:tab w:val="left" w:pos="856" w:leader="none"/>
        </w:tabs>
        <w:spacing w:before="163" w:after="0"/>
        <w:ind w:left="856" w:right="0" w:hanging="721"/>
        <w:contextualSpacing w:val="false"/>
        <w:jc w:val="both"/>
        <w:rPr/>
      </w:pPr>
      <w:r>
        <w:rPr/>
        <w:t>As</w:t>
      </w:r>
      <w:r>
        <w:rPr>
          <w:spacing w:val="-5"/>
        </w:rPr>
        <w:t xml:space="preserve"> </w:t>
      </w:r>
      <w:r>
        <w:rPr/>
        <w:t>regras</w:t>
      </w:r>
      <w:r>
        <w:rPr>
          <w:spacing w:val="-6"/>
        </w:rPr>
        <w:t xml:space="preserve"> </w:t>
      </w:r>
      <w:r>
        <w:rPr/>
        <w:t>de</w:t>
      </w:r>
      <w:r>
        <w:rPr>
          <w:spacing w:val="-6"/>
        </w:rPr>
        <w:t xml:space="preserve"> </w:t>
      </w:r>
      <w:r>
        <w:rPr/>
        <w:t>desempate</w:t>
      </w:r>
      <w:r>
        <w:rPr>
          <w:spacing w:val="-4"/>
        </w:rPr>
        <w:t xml:space="preserve"> </w:t>
      </w:r>
      <w:r>
        <w:rPr/>
        <w:t>entre</w:t>
      </w:r>
      <w:r>
        <w:rPr>
          <w:spacing w:val="-6"/>
        </w:rPr>
        <w:t xml:space="preserve"> </w:t>
      </w:r>
      <w:r>
        <w:rPr/>
        <w:t>propostas</w:t>
      </w:r>
      <w:r>
        <w:rPr>
          <w:spacing w:val="-4"/>
        </w:rPr>
        <w:t xml:space="preserve"> </w:t>
      </w:r>
      <w:r>
        <w:rPr/>
        <w:t>são</w:t>
      </w:r>
      <w:r>
        <w:rPr>
          <w:spacing w:val="-5"/>
        </w:rPr>
        <w:t xml:space="preserve"> </w:t>
      </w:r>
      <w:r>
        <w:rPr/>
        <w:t>as</w:t>
      </w:r>
      <w:r>
        <w:rPr>
          <w:spacing w:val="-5"/>
        </w:rPr>
        <w:t xml:space="preserve"> </w:t>
      </w:r>
      <w:r>
        <w:rPr/>
        <w:t>discriminadas</w:t>
      </w:r>
      <w:r>
        <w:rPr>
          <w:spacing w:val="-4"/>
        </w:rPr>
        <w:t xml:space="preserve"> </w:t>
      </w:r>
      <w:r>
        <w:rPr/>
        <w:t>no</w:t>
      </w:r>
      <w:r>
        <w:rPr>
          <w:spacing w:val="-6"/>
        </w:rPr>
        <w:t xml:space="preserve"> </w:t>
      </w:r>
      <w:r>
        <w:rPr/>
        <w:t>edital.</w:t>
      </w:r>
    </w:p>
    <w:p>
      <w:pPr>
        <w:pStyle w:val="Nivel1"/>
        <w:numPr>
          <w:ilvl w:val="0"/>
          <w:numId w:val="2"/>
        </w:numPr>
        <w:rPr>
          <w:rFonts w:cs="Arial"/>
          <w:bCs/>
          <w:color w:val="auto"/>
        </w:rPr>
      </w:pPr>
      <w:r>
        <w:rPr>
          <w:rFonts w:cs="Arial"/>
          <w:bCs/>
          <w:color w:val="auto"/>
        </w:rPr>
        <w:t>ESTIMATIVA DE PREÇOS E PREÇOS REFERENCIAIS.</w:t>
      </w:r>
    </w:p>
    <w:p>
      <w:pPr>
        <w:pStyle w:val="Normal"/>
        <w:numPr>
          <w:ilvl w:val="1"/>
          <w:numId w:val="2"/>
        </w:numPr>
        <w:spacing w:lineRule="auto" w:line="276" w:before="240" w:after="240"/>
        <w:jc w:val="both"/>
        <w:rPr/>
      </w:pPr>
      <w:r>
        <w:rPr>
          <w:rFonts w:cs="Arial"/>
          <w:szCs w:val="20"/>
        </w:rPr>
        <w:t>O custo estimado da contratação é de</w:t>
      </w:r>
      <w:r>
        <w:rPr>
          <w:rFonts w:cs="Arial"/>
          <w:b/>
          <w:szCs w:val="20"/>
        </w:rPr>
        <w:t xml:space="preserve"> </w:t>
      </w:r>
      <w:r>
        <w:rPr>
          <w:rFonts w:cs="Arial"/>
          <w:bCs/>
          <w:kern w:val="2"/>
          <w:szCs w:val="20"/>
          <w:lang w:eastAsia="pt-PT" w:bidi="pt-PT"/>
        </w:rPr>
        <w:t>R$ 3.371.497,00 (três milhões e trezentos e setenta e um  mil e quatrocentos e noventa e sete reais)</w:t>
      </w:r>
      <w:r>
        <w:rPr/>
        <w:t>.</w:t>
      </w:r>
    </w:p>
    <w:p>
      <w:pPr>
        <w:pStyle w:val="Nivel1"/>
        <w:numPr>
          <w:ilvl w:val="0"/>
          <w:numId w:val="2"/>
        </w:numPr>
        <w:spacing w:before="480" w:after="240"/>
        <w:rPr/>
      </w:pPr>
      <w:r>
        <w:rPr/>
        <w:t>DOS</w:t>
      </w:r>
      <w:r>
        <w:rPr>
          <w:spacing w:val="-11"/>
        </w:rPr>
        <w:t xml:space="preserve"> </w:t>
      </w:r>
      <w:r>
        <w:rPr/>
        <w:t>RECURSOS</w:t>
      </w:r>
      <w:r>
        <w:rPr>
          <w:spacing w:val="-10"/>
        </w:rPr>
        <w:t xml:space="preserve"> </w:t>
      </w:r>
      <w:r>
        <w:rPr/>
        <w:t xml:space="preserve">ORÇAMENTÁRIOS. </w:t>
      </w:r>
    </w:p>
    <w:p>
      <w:pPr>
        <w:pStyle w:val="ListParagraph"/>
        <w:widowControl w:val="false"/>
        <w:numPr>
          <w:ilvl w:val="1"/>
          <w:numId w:val="2"/>
        </w:numPr>
        <w:tabs>
          <w:tab w:val="clear" w:pos="708"/>
          <w:tab w:val="left" w:pos="855" w:leader="none"/>
          <w:tab w:val="left" w:pos="856" w:leader="none"/>
        </w:tabs>
        <w:spacing w:lineRule="auto" w:line="264" w:before="1" w:after="240"/>
        <w:ind w:left="135" w:right="751" w:hanging="0"/>
        <w:contextualSpacing w:val="false"/>
        <w:jc w:val="both"/>
        <w:rPr/>
      </w:pPr>
      <w:r>
        <w:rPr/>
        <w:t>A</w:t>
      </w:r>
      <w:r>
        <w:rPr>
          <w:spacing w:val="17"/>
        </w:rPr>
        <w:t xml:space="preserve"> </w:t>
      </w:r>
      <w:r>
        <w:rPr/>
        <w:t>indicação</w:t>
      </w:r>
      <w:r>
        <w:rPr>
          <w:spacing w:val="20"/>
        </w:rPr>
        <w:t xml:space="preserve"> </w:t>
      </w:r>
      <w:r>
        <w:rPr/>
        <w:t>da</w:t>
      </w:r>
      <w:r>
        <w:rPr>
          <w:spacing w:val="17"/>
        </w:rPr>
        <w:t xml:space="preserve"> </w:t>
      </w:r>
      <w:r>
        <w:rPr/>
        <w:t>dotação</w:t>
      </w:r>
      <w:r>
        <w:rPr>
          <w:spacing w:val="18"/>
        </w:rPr>
        <w:t xml:space="preserve"> </w:t>
      </w:r>
      <w:r>
        <w:rPr/>
        <w:t>orçamentária</w:t>
      </w:r>
      <w:r>
        <w:rPr>
          <w:spacing w:val="18"/>
        </w:rPr>
        <w:t xml:space="preserve"> </w:t>
      </w:r>
      <w:r>
        <w:rPr/>
        <w:t>fica</w:t>
      </w:r>
      <w:r>
        <w:rPr>
          <w:spacing w:val="17"/>
        </w:rPr>
        <w:t xml:space="preserve"> </w:t>
      </w:r>
      <w:r>
        <w:rPr/>
        <w:t>postergada</w:t>
      </w:r>
      <w:r>
        <w:rPr>
          <w:spacing w:val="18"/>
        </w:rPr>
        <w:t xml:space="preserve"> </w:t>
      </w:r>
      <w:r>
        <w:rPr/>
        <w:t>para</w:t>
      </w:r>
      <w:r>
        <w:rPr>
          <w:spacing w:val="18"/>
        </w:rPr>
        <w:t xml:space="preserve"> </w:t>
      </w:r>
      <w:r>
        <w:rPr/>
        <w:t>o</w:t>
      </w:r>
      <w:r>
        <w:rPr>
          <w:spacing w:val="17"/>
        </w:rPr>
        <w:t xml:space="preserve"> </w:t>
      </w:r>
      <w:r>
        <w:rPr/>
        <w:t>momento</w:t>
      </w:r>
      <w:r>
        <w:rPr>
          <w:spacing w:val="18"/>
        </w:rPr>
        <w:t xml:space="preserve"> </w:t>
      </w:r>
      <w:r>
        <w:rPr/>
        <w:t>da</w:t>
      </w:r>
      <w:r>
        <w:rPr>
          <w:spacing w:val="17"/>
        </w:rPr>
        <w:t xml:space="preserve"> </w:t>
      </w:r>
      <w:r>
        <w:rPr/>
        <w:t>assinatura</w:t>
      </w:r>
      <w:r>
        <w:rPr>
          <w:spacing w:val="18"/>
        </w:rPr>
        <w:t xml:space="preserve"> </w:t>
      </w:r>
      <w:r>
        <w:rPr/>
        <w:t>do</w:t>
      </w:r>
      <w:r>
        <w:rPr>
          <w:spacing w:val="18"/>
        </w:rPr>
        <w:t xml:space="preserve"> </w:t>
      </w:r>
      <w:r>
        <w:rPr/>
        <w:t>contrato</w:t>
      </w:r>
      <w:r>
        <w:rPr>
          <w:spacing w:val="17"/>
        </w:rPr>
        <w:t xml:space="preserve"> </w:t>
      </w:r>
      <w:r>
        <w:rPr/>
        <w:t>ou</w:t>
      </w:r>
      <w:r>
        <w:rPr>
          <w:spacing w:val="-42"/>
        </w:rPr>
        <w:t xml:space="preserve"> </w:t>
      </w:r>
      <w:r>
        <w:rPr/>
        <w:t>instrumento</w:t>
      </w:r>
      <w:r>
        <w:rPr>
          <w:spacing w:val="-1"/>
        </w:rPr>
        <w:t xml:space="preserve"> </w:t>
      </w:r>
      <w:r>
        <w:rPr/>
        <w:t>equivalente.</w:t>
      </w:r>
    </w:p>
    <w:p>
      <w:pPr>
        <w:pStyle w:val="Normal"/>
        <w:spacing w:lineRule="auto" w:line="276" w:before="120" w:after="120"/>
        <w:jc w:val="both"/>
        <w:rPr>
          <w:rFonts w:cs="Arial"/>
          <w:szCs w:val="20"/>
        </w:rPr>
      </w:pPr>
      <w:r>
        <w:rPr>
          <w:rFonts w:cs="Arial"/>
          <w:szCs w:val="20"/>
        </w:rPr>
      </w:r>
    </w:p>
    <w:p>
      <w:pPr>
        <w:pStyle w:val="Normal"/>
        <w:spacing w:lineRule="auto" w:line="276" w:before="120" w:after="120"/>
        <w:jc w:val="both"/>
        <w:rPr>
          <w:rFonts w:cs="Arial"/>
          <w:szCs w:val="20"/>
        </w:rPr>
      </w:pPr>
      <w:r>
        <w:rPr>
          <w:rFonts w:cs="Arial"/>
          <w:szCs w:val="20"/>
        </w:rPr>
      </w:r>
    </w:p>
    <w:p>
      <w:pPr>
        <w:pStyle w:val="Normal"/>
        <w:spacing w:before="0" w:after="360"/>
        <w:ind w:left="360" w:right="0" w:hanging="0"/>
        <w:jc w:val="center"/>
        <w:rPr>
          <w:rFonts w:cs="Arial"/>
          <w:szCs w:val="20"/>
        </w:rPr>
      </w:pPr>
      <w:r>
        <w:rPr>
          <w:rFonts w:cs="Arial"/>
          <w:szCs w:val="20"/>
        </w:rPr>
        <w:t>Brasília – DF , 06  de setembro  de 2023.</w:t>
      </w:r>
    </w:p>
    <w:p>
      <w:pPr>
        <w:pStyle w:val="Normal"/>
        <w:spacing w:before="0" w:after="360"/>
        <w:rPr>
          <w:rFonts w:cs="Arial"/>
          <w:b/>
          <w:b/>
          <w:szCs w:val="20"/>
        </w:rPr>
      </w:pPr>
      <w:r>
        <w:rPr>
          <w:rFonts w:cs="Arial"/>
          <w:b/>
          <w:szCs w:val="20"/>
        </w:rPr>
      </w:r>
    </w:p>
    <w:p>
      <w:pPr>
        <w:pStyle w:val="Normal"/>
        <w:spacing w:before="0" w:after="360"/>
        <w:rPr>
          <w:rFonts w:cs="Arial"/>
          <w:b/>
          <w:b/>
          <w:szCs w:val="20"/>
        </w:rPr>
      </w:pPr>
      <w:r>
        <w:rPr>
          <w:rFonts w:cs="Arial"/>
          <w:b/>
          <w:szCs w:val="20"/>
        </w:rPr>
      </w:r>
      <w:bookmarkStart w:id="1" w:name="_GoBack"/>
      <w:bookmarkStart w:id="2" w:name="_GoBack"/>
      <w:bookmarkEnd w:id="2"/>
    </w:p>
    <w:p>
      <w:pPr>
        <w:pStyle w:val="Padro"/>
        <w:spacing w:before="0" w:after="0"/>
        <w:ind w:left="0" w:right="140" w:firstLine="15"/>
        <w:jc w:val="center"/>
        <w:rPr>
          <w:rFonts w:ascii="Arial" w:hAnsi="Arial" w:eastAsia="Times New Roman" w:cs="Arial"/>
          <w:b/>
          <w:b/>
          <w:color w:val="000000"/>
          <w:sz w:val="20"/>
          <w:szCs w:val="20"/>
        </w:rPr>
      </w:pPr>
      <w:r>
        <w:rPr>
          <w:rFonts w:eastAsia="Times New Roman" w:cs="Arial" w:ascii="Arial" w:hAnsi="Arial"/>
          <w:b/>
          <w:color w:val="000000"/>
          <w:sz w:val="20"/>
          <w:szCs w:val="20"/>
        </w:rPr>
        <w:t>GLÁUCIA BEATRIZ SILVA LOPES – 1º Ten</w:t>
      </w:r>
    </w:p>
    <w:p>
      <w:pPr>
        <w:pStyle w:val="ListParagraph"/>
        <w:spacing w:lineRule="auto" w:line="276"/>
        <w:ind w:left="0" w:right="0" w:hanging="0"/>
        <w:jc w:val="center"/>
        <w:rPr>
          <w:rFonts w:cs="Arial"/>
          <w:color w:val="000000"/>
          <w:szCs w:val="20"/>
        </w:rPr>
      </w:pPr>
      <w:r>
        <w:rPr>
          <w:rFonts w:cs="Arial"/>
          <w:color w:val="000000"/>
          <w:szCs w:val="20"/>
        </w:rPr>
        <w:t>Chefe do Setor de Aprovisionamento</w:t>
      </w:r>
    </w:p>
    <w:p>
      <w:pPr>
        <w:pStyle w:val="Normal"/>
        <w:spacing w:lineRule="auto" w:line="276" w:before="120" w:after="120"/>
        <w:jc w:val="both"/>
        <w:rPr>
          <w:rFonts w:cs="Arial"/>
          <w:szCs w:val="20"/>
        </w:rPr>
      </w:pPr>
      <w:r>
        <w:rPr>
          <w:rFonts w:cs="Arial"/>
          <w:szCs w:val="20"/>
        </w:rPr>
      </w:r>
    </w:p>
    <w:p>
      <w:pPr>
        <w:pStyle w:val="Normal"/>
        <w:rPr>
          <w:rFonts w:cs="Arial"/>
          <w:szCs w:val="20"/>
        </w:rPr>
      </w:pPr>
      <w:r>
        <w:rPr>
          <w:rFonts w:cs="Arial"/>
          <w:szCs w:val="20"/>
        </w:rPr>
      </w:r>
      <w:r>
        <w:br w:type="page"/>
      </w:r>
    </w:p>
    <w:p>
      <w:pPr>
        <w:pStyle w:val="Ttulo1"/>
        <w:spacing w:lineRule="exact" w:line="274" w:before="63" w:after="0"/>
        <w:ind w:left="132" w:right="0" w:hanging="0"/>
        <w:jc w:val="both"/>
        <w:rPr>
          <w:rFonts w:ascii="Arial" w:hAnsi="Arial" w:cs="Arial"/>
          <w:b/>
          <w:b/>
          <w:color w:val="00000A"/>
          <w:sz w:val="20"/>
          <w:szCs w:val="20"/>
        </w:rPr>
      </w:pPr>
      <w:r>
        <w:rPr>
          <w:rFonts w:cs="Arial" w:ascii="Arial" w:hAnsi="Arial"/>
          <w:b/>
          <w:color w:val="00000A"/>
          <w:sz w:val="20"/>
          <w:szCs w:val="20"/>
        </w:rPr>
        <w:t>Aprovação do termo de referência:</w:t>
      </w:r>
    </w:p>
    <w:p>
      <w:pPr>
        <w:pStyle w:val="Normal"/>
        <w:jc w:val="both"/>
        <w:rPr>
          <w:rFonts w:cs="Arial"/>
          <w:szCs w:val="20"/>
        </w:rPr>
      </w:pPr>
      <w:r>
        <w:rPr>
          <w:rFonts w:cs="Arial"/>
          <w:szCs w:val="20"/>
        </w:rPr>
      </w:r>
    </w:p>
    <w:p>
      <w:pPr>
        <w:pStyle w:val="ListParagraph"/>
        <w:widowControl w:val="false"/>
        <w:numPr>
          <w:ilvl w:val="0"/>
          <w:numId w:val="5"/>
        </w:numPr>
        <w:tabs>
          <w:tab w:val="clear" w:pos="708"/>
          <w:tab w:val="left" w:pos="343" w:leader="none"/>
        </w:tabs>
        <w:ind w:left="132" w:right="716" w:hanging="0"/>
        <w:jc w:val="both"/>
        <w:rPr/>
      </w:pPr>
      <w:r>
        <w:rPr>
          <w:rFonts w:cs="Arial"/>
          <w:szCs w:val="20"/>
        </w:rPr>
        <w:t xml:space="preserve">Ao analisar o presente Termo de Referência, </w:t>
      </w:r>
      <w:r>
        <w:rPr>
          <w:rFonts w:cs="Arial"/>
          <w:spacing w:val="1"/>
          <w:szCs w:val="20"/>
        </w:rPr>
        <w:t xml:space="preserve">em </w:t>
      </w:r>
      <w:r>
        <w:rPr>
          <w:rFonts w:cs="Arial"/>
          <w:szCs w:val="20"/>
        </w:rPr>
        <w:t xml:space="preserve">cumprimento ao que determina o inciso II, do Art. 14º, do Decreto nº 10.024/19, </w:t>
      </w:r>
      <w:r>
        <w:rPr>
          <w:rFonts w:cs="Arial"/>
          <w:b/>
          <w:szCs w:val="20"/>
        </w:rPr>
        <w:t xml:space="preserve">APROVO </w:t>
      </w:r>
      <w:r>
        <w:rPr>
          <w:rFonts w:cs="Arial"/>
          <w:szCs w:val="20"/>
        </w:rPr>
        <w:t>o Termo, pelos seguintes motivos:</w:t>
      </w:r>
    </w:p>
    <w:p>
      <w:pPr>
        <w:pStyle w:val="ListParagraph"/>
        <w:widowControl w:val="false"/>
        <w:numPr>
          <w:ilvl w:val="1"/>
          <w:numId w:val="5"/>
        </w:numPr>
        <w:tabs>
          <w:tab w:val="clear" w:pos="708"/>
          <w:tab w:val="left" w:pos="842" w:leader="none"/>
        </w:tabs>
        <w:spacing w:before="2" w:after="0"/>
        <w:ind w:left="416" w:right="712" w:hanging="10"/>
        <w:contextualSpacing/>
        <w:jc w:val="both"/>
        <w:rPr/>
      </w:pPr>
      <w:r>
        <w:rPr>
          <w:rFonts w:cs="Arial"/>
          <w:szCs w:val="20"/>
        </w:rPr>
        <w:t>O objeto foi definido pelo Setor Requisitante, com a correta especificação dos serviços de fornecimento de alimentação</w:t>
      </w:r>
      <w:r>
        <w:rPr>
          <w:rFonts w:cs="Arial"/>
          <w:spacing w:val="40"/>
          <w:szCs w:val="20"/>
        </w:rPr>
        <w:t xml:space="preserve"> </w:t>
      </w:r>
      <w:r>
        <w:rPr>
          <w:rFonts w:cs="Arial"/>
          <w:szCs w:val="20"/>
        </w:rPr>
        <w:t>e adequada estimativa das quantidades para atender a demanda</w:t>
      </w:r>
      <w:r>
        <w:rPr>
          <w:rFonts w:cs="Arial"/>
          <w:spacing w:val="1"/>
          <w:szCs w:val="20"/>
        </w:rPr>
        <w:t xml:space="preserve"> </w:t>
      </w:r>
      <w:r>
        <w:rPr>
          <w:rFonts w:cs="Arial"/>
          <w:szCs w:val="20"/>
        </w:rPr>
        <w:t>anual.</w:t>
      </w:r>
    </w:p>
    <w:p>
      <w:pPr>
        <w:pStyle w:val="ListParagraph"/>
        <w:widowControl w:val="false"/>
        <w:numPr>
          <w:ilvl w:val="1"/>
          <w:numId w:val="5"/>
        </w:numPr>
        <w:tabs>
          <w:tab w:val="clear" w:pos="708"/>
          <w:tab w:val="left" w:pos="842" w:leader="none"/>
        </w:tabs>
        <w:ind w:left="416" w:right="715" w:hanging="10"/>
        <w:jc w:val="both"/>
        <w:rPr>
          <w:rFonts w:cs="Arial"/>
          <w:szCs w:val="20"/>
        </w:rPr>
      </w:pPr>
      <w:r>
        <w:rPr>
          <w:rFonts w:cs="Arial"/>
          <w:szCs w:val="20"/>
        </w:rPr>
        <w:t>A metodologia utilizada para a obtenção dos preços de referência foi a média dos preços encontrados, em um conjunto de três ou mais preços obtidos para cada item, atendendo ao que prescreve a Instrução Normativa nº 73, de 5 de agosto de 2020 .</w:t>
      </w:r>
    </w:p>
    <w:p>
      <w:pPr>
        <w:pStyle w:val="ListParagraph"/>
        <w:widowControl w:val="false"/>
        <w:numPr>
          <w:ilvl w:val="1"/>
          <w:numId w:val="5"/>
        </w:numPr>
        <w:tabs>
          <w:tab w:val="clear" w:pos="708"/>
          <w:tab w:val="left" w:pos="842" w:leader="none"/>
        </w:tabs>
        <w:ind w:left="416" w:right="713" w:hanging="10"/>
        <w:jc w:val="both"/>
        <w:rPr>
          <w:rFonts w:cs="Arial"/>
          <w:szCs w:val="20"/>
        </w:rPr>
      </w:pPr>
      <w:r>
        <w:rPr>
          <w:rFonts w:cs="Arial"/>
          <w:szCs w:val="20"/>
        </w:rPr>
        <w:t>Contém todos os elementos capazes de propiciar avaliação dos custos pela administração diante de orçamento detalhado, estratégia de suprimento, valor estimado adequado ao preço de mercado, critérios de aceitação do objeto, deveres do contratado e do contratante, procedimentos de fiscalização e gerenciamento do contrato e prazos de execução e aplicação de sanções administrativas, de forma clara, concisa e objetiva.</w:t>
      </w:r>
    </w:p>
    <w:p>
      <w:pPr>
        <w:pStyle w:val="ListParagraph"/>
        <w:widowControl w:val="false"/>
        <w:tabs>
          <w:tab w:val="clear" w:pos="708"/>
          <w:tab w:val="left" w:pos="842" w:leader="none"/>
        </w:tabs>
        <w:ind w:left="416" w:right="713" w:hanging="0"/>
        <w:jc w:val="both"/>
        <w:rPr>
          <w:rFonts w:cs="Arial"/>
          <w:szCs w:val="20"/>
        </w:rPr>
      </w:pPr>
      <w:r>
        <w:rPr>
          <w:rFonts w:cs="Arial"/>
          <w:szCs w:val="20"/>
        </w:rPr>
      </w:r>
    </w:p>
    <w:p>
      <w:pPr>
        <w:pStyle w:val="ListParagraph"/>
        <w:widowControl w:val="false"/>
        <w:numPr>
          <w:ilvl w:val="0"/>
          <w:numId w:val="6"/>
        </w:numPr>
        <w:tabs>
          <w:tab w:val="clear" w:pos="708"/>
          <w:tab w:val="left" w:pos="431" w:leader="none"/>
        </w:tabs>
        <w:ind w:left="426" w:right="720" w:hanging="294"/>
        <w:jc w:val="both"/>
        <w:rPr>
          <w:rFonts w:cs="Arial"/>
          <w:szCs w:val="20"/>
        </w:rPr>
      </w:pPr>
      <w:r>
        <w:rPr>
          <w:rFonts w:cs="Arial"/>
          <w:szCs w:val="20"/>
        </w:rPr>
        <w:t>Para fins do artigo 38, da Lei nº 8.666, de 21 de junho de 1993, a utilização dos recursos consignados no Orçamento Geral da União, na gestão do Tesouro e Gestão Fundo do Exército, da Natureza da Despesa 33.90.39.</w:t>
      </w:r>
    </w:p>
    <w:p>
      <w:pPr>
        <w:pStyle w:val="Corpodotexto"/>
        <w:spacing w:before="229" w:after="0"/>
        <w:ind w:left="0" w:right="3636" w:hanging="0"/>
        <w:jc w:val="both"/>
        <w:rPr>
          <w:rFonts w:ascii="Arial" w:hAnsi="Arial" w:cs="Arial"/>
          <w:sz w:val="20"/>
          <w:szCs w:val="20"/>
          <w:lang w:val="pt-BR"/>
        </w:rPr>
      </w:pPr>
      <w:r>
        <w:rPr>
          <w:rFonts w:cs="Arial" w:ascii="Arial" w:hAnsi="Arial"/>
          <w:sz w:val="20"/>
          <w:szCs w:val="20"/>
          <w:lang w:val="pt-BR"/>
        </w:rPr>
      </w:r>
    </w:p>
    <w:p>
      <w:pPr>
        <w:pStyle w:val="Normal"/>
        <w:jc w:val="both"/>
        <w:rPr>
          <w:rFonts w:cs="Arial"/>
          <w:szCs w:val="20"/>
          <w:lang w:eastAsia="en-US"/>
        </w:rPr>
      </w:pPr>
      <w:r>
        <w:rPr>
          <w:rFonts w:cs="Arial"/>
          <w:szCs w:val="20"/>
          <w:lang w:eastAsia="en-US"/>
        </w:rPr>
      </w:r>
    </w:p>
    <w:p>
      <w:pPr>
        <w:pStyle w:val="Normal"/>
        <w:jc w:val="both"/>
        <w:rPr>
          <w:rFonts w:cs="Arial"/>
          <w:szCs w:val="20"/>
          <w:lang w:eastAsia="en-US"/>
        </w:rPr>
      </w:pPr>
      <w:r>
        <w:rPr>
          <w:rFonts w:cs="Arial"/>
          <w:szCs w:val="20"/>
          <w:lang w:eastAsia="en-US"/>
        </w:rPr>
      </w:r>
    </w:p>
    <w:p>
      <w:pPr>
        <w:pStyle w:val="Normal"/>
        <w:jc w:val="center"/>
        <w:rPr>
          <w:rFonts w:cs="Arial"/>
          <w:szCs w:val="20"/>
          <w:lang w:eastAsia="en-US"/>
        </w:rPr>
      </w:pPr>
      <w:r>
        <w:rPr>
          <w:rFonts w:cs="Arial"/>
          <w:szCs w:val="20"/>
          <w:lang w:eastAsia="en-US"/>
        </w:rPr>
        <w:t>Brasília-DF, _____ de ___________ de 2023.</w:t>
      </w:r>
    </w:p>
    <w:p>
      <w:pPr>
        <w:pStyle w:val="Normal"/>
        <w:jc w:val="center"/>
        <w:rPr>
          <w:rFonts w:cs="Arial"/>
          <w:szCs w:val="20"/>
          <w:lang w:eastAsia="en-US"/>
        </w:rPr>
      </w:pPr>
      <w:r>
        <w:rPr>
          <w:rFonts w:cs="Arial"/>
          <w:szCs w:val="20"/>
          <w:lang w:eastAsia="en-US"/>
        </w:rPr>
      </w:r>
    </w:p>
    <w:p>
      <w:pPr>
        <w:pStyle w:val="Normal"/>
        <w:jc w:val="center"/>
        <w:rPr>
          <w:rFonts w:cs="Arial"/>
          <w:szCs w:val="20"/>
          <w:lang w:eastAsia="en-US"/>
        </w:rPr>
      </w:pPr>
      <w:r>
        <w:rPr>
          <w:rFonts w:cs="Arial"/>
          <w:szCs w:val="20"/>
          <w:lang w:eastAsia="en-US"/>
        </w:rPr>
      </w:r>
    </w:p>
    <w:p>
      <w:pPr>
        <w:pStyle w:val="Normal"/>
        <w:jc w:val="center"/>
        <w:rPr>
          <w:rFonts w:cs="Arial"/>
          <w:szCs w:val="20"/>
          <w:lang w:eastAsia="en-US"/>
        </w:rPr>
      </w:pPr>
      <w:r>
        <w:rPr>
          <w:rFonts w:cs="Arial"/>
          <w:szCs w:val="20"/>
          <w:lang w:eastAsia="en-US"/>
        </w:rPr>
      </w:r>
    </w:p>
    <w:p>
      <w:pPr>
        <w:pStyle w:val="Normal"/>
        <w:jc w:val="center"/>
        <w:rPr>
          <w:rFonts w:cs="Arial"/>
          <w:szCs w:val="20"/>
          <w:lang w:eastAsia="en-US"/>
        </w:rPr>
      </w:pPr>
      <w:r>
        <w:rPr>
          <w:rFonts w:cs="Arial"/>
          <w:szCs w:val="20"/>
          <w:lang w:eastAsia="en-US"/>
        </w:rPr>
      </w:r>
    </w:p>
    <w:p>
      <w:pPr>
        <w:pStyle w:val="Normal"/>
        <w:jc w:val="center"/>
        <w:rPr>
          <w:rFonts w:cs="Arial"/>
          <w:szCs w:val="20"/>
          <w:lang w:eastAsia="en-US"/>
        </w:rPr>
      </w:pPr>
      <w:r>
        <w:rPr>
          <w:rFonts w:cs="Arial"/>
          <w:szCs w:val="20"/>
          <w:lang w:eastAsia="en-US"/>
        </w:rPr>
      </w:r>
    </w:p>
    <w:p>
      <w:pPr>
        <w:pStyle w:val="Normal"/>
        <w:jc w:val="center"/>
        <w:rPr>
          <w:rFonts w:cs="Arial"/>
          <w:b/>
          <w:b/>
          <w:szCs w:val="20"/>
          <w:lang w:eastAsia="en-US"/>
        </w:rPr>
      </w:pPr>
      <w:r>
        <w:rPr>
          <w:rFonts w:cs="Arial"/>
          <w:b/>
          <w:szCs w:val="20"/>
          <w:lang w:eastAsia="en-US"/>
        </w:rPr>
      </w:r>
    </w:p>
    <w:p>
      <w:pPr>
        <w:pStyle w:val="Normal"/>
        <w:jc w:val="center"/>
        <w:rPr>
          <w:rFonts w:cs="Arial"/>
          <w:b/>
          <w:b/>
          <w:szCs w:val="20"/>
          <w:lang w:eastAsia="en-US"/>
        </w:rPr>
      </w:pPr>
      <w:r>
        <w:rPr>
          <w:rFonts w:cs="Arial"/>
          <w:b/>
          <w:szCs w:val="20"/>
          <w:lang w:eastAsia="en-US"/>
        </w:rPr>
        <w:t>DIEGO SIMÕES DOS REIS DA COSTA - Cel</w:t>
      </w:r>
    </w:p>
    <w:p>
      <w:pPr>
        <w:pStyle w:val="Normal"/>
        <w:jc w:val="center"/>
        <w:rPr>
          <w:rFonts w:cs="Arial"/>
          <w:szCs w:val="20"/>
          <w:lang w:eastAsia="en-US"/>
        </w:rPr>
      </w:pPr>
      <w:r>
        <w:rPr>
          <w:rFonts w:cs="Arial"/>
          <w:szCs w:val="20"/>
          <w:lang w:eastAsia="en-US"/>
        </w:rPr>
        <w:t>Ordenador de Despesas da Base Administrativa do Cmdo Com GE Ex</w:t>
      </w:r>
    </w:p>
    <w:p>
      <w:pPr>
        <w:pStyle w:val="Normal"/>
        <w:spacing w:lineRule="auto" w:line="276" w:before="120" w:after="120"/>
        <w:jc w:val="both"/>
        <w:rPr/>
      </w:pPr>
      <w:r>
        <w:rPr/>
      </w:r>
    </w:p>
    <w:sectPr>
      <w:footerReference w:type="default" r:id="rId5"/>
      <w:type w:val="nextPage"/>
      <w:pgSz w:w="11906" w:h="16838"/>
      <w:pgMar w:left="1701" w:right="1701" w:gutter="0" w:header="0" w:top="1417" w:footer="709" w:bottom="1417"/>
      <w:pgNumType w:fmt="decimal"/>
      <w:formProt w:val="false"/>
      <w:textDirection w:val="lrTb"/>
      <w:docGrid w:type="default" w:linePitch="360" w:charSpace="8192"/>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Arial">
    <w:charset w:val="00"/>
    <w:family w:val="roman"/>
    <w:pitch w:val="variable"/>
  </w:font>
  <w:font w:name="Cambria">
    <w:charset w:val="00"/>
    <w:family w:val="roman"/>
    <w:pitch w:val="variable"/>
  </w:font>
  <w:font w:name="Tahoma">
    <w:charset w:val="00"/>
    <w:family w:val="roman"/>
    <w:pitch w:val="variable"/>
  </w:font>
  <w:font w:name="Ecofont_Spranq_eco_Sans">
    <w:charset w:val="00"/>
    <w:family w:val="roman"/>
    <w:pitch w:val="variable"/>
  </w:font>
  <w:font w:name="Liberation Sans">
    <w:altName w:val="Arial"/>
    <w:charset w:val="00"/>
    <w:family w:val="roman"/>
    <w:pitch w:val="variable"/>
  </w:font>
  <w:font w:name="Calibri">
    <w:charset w:val="00"/>
    <w:family w:val="roman"/>
    <w:pitch w:val="variable"/>
  </w:font>
  <w:font w:name="Arial MT">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Rodap"/>
      <w:rPr>
        <w:rFonts w:ascii="Times New Roman" w:hAnsi="Times New Roman" w:cs="Times New Roman"/>
      </w:rPr>
    </w:pPr>
    <w:r>
      <w:rPr>
        <w:rFonts w:cs="Times New Roman" w:ascii="Times New Roman" w:hAnsi="Times New Roman"/>
      </w:rPr>
      <w:t>_____________________________________________________________________________________</w:t>
    </w:r>
  </w:p>
  <w:p>
    <w:pPr>
      <w:pStyle w:val="Normal"/>
      <w:spacing w:before="16" w:after="0"/>
      <w:ind w:left="20" w:right="0" w:hanging="0"/>
      <w:rPr/>
    </w:pPr>
    <w:r>
      <w:rPr>
        <w:rFonts w:ascii="Arial MT" w:hAnsi="Arial MT"/>
        <w:color w:val="000009"/>
        <w:spacing w:val="-1"/>
        <w:sz w:val="12"/>
      </w:rPr>
      <w:t>Câmara</w:t>
    </w:r>
    <w:r>
      <w:rPr>
        <w:rFonts w:ascii="Arial MT" w:hAnsi="Arial MT"/>
        <w:color w:val="000009"/>
        <w:spacing w:val="-4"/>
        <w:sz w:val="12"/>
      </w:rPr>
      <w:t xml:space="preserve"> </w:t>
    </w:r>
    <w:r>
      <w:rPr>
        <w:rFonts w:ascii="Arial MT" w:hAnsi="Arial MT"/>
        <w:color w:val="000009"/>
        <w:sz w:val="12"/>
      </w:rPr>
      <w:t>Nacional</w:t>
    </w:r>
    <w:r>
      <w:rPr>
        <w:rFonts w:ascii="Arial MT" w:hAnsi="Arial MT"/>
        <w:color w:val="000009"/>
        <w:spacing w:val="-3"/>
        <w:sz w:val="12"/>
      </w:rPr>
      <w:t xml:space="preserve"> </w:t>
    </w:r>
    <w:r>
      <w:rPr>
        <w:rFonts w:ascii="Arial MT" w:hAnsi="Arial MT"/>
        <w:color w:val="000009"/>
        <w:sz w:val="12"/>
      </w:rPr>
      <w:t>de</w:t>
    </w:r>
    <w:r>
      <w:rPr>
        <w:rFonts w:ascii="Arial MT" w:hAnsi="Arial MT"/>
        <w:color w:val="000009"/>
        <w:spacing w:val="-2"/>
        <w:sz w:val="12"/>
      </w:rPr>
      <w:t xml:space="preserve"> </w:t>
    </w:r>
    <w:r>
      <w:rPr>
        <w:rFonts w:ascii="Arial MT" w:hAnsi="Arial MT"/>
        <w:color w:val="000009"/>
        <w:sz w:val="12"/>
      </w:rPr>
      <w:t>Modelos</w:t>
    </w:r>
    <w:r>
      <w:rPr>
        <w:rFonts w:ascii="Arial MT" w:hAnsi="Arial MT"/>
        <w:color w:val="000009"/>
        <w:spacing w:val="-2"/>
        <w:sz w:val="12"/>
      </w:rPr>
      <w:t xml:space="preserve"> </w:t>
    </w:r>
    <w:r>
      <w:rPr>
        <w:rFonts w:ascii="Arial MT" w:hAnsi="Arial MT"/>
        <w:color w:val="000009"/>
        <w:sz w:val="12"/>
      </w:rPr>
      <w:t>de</w:t>
    </w:r>
    <w:r>
      <w:rPr>
        <w:rFonts w:ascii="Arial MT" w:hAnsi="Arial MT"/>
        <w:color w:val="000009"/>
        <w:spacing w:val="-3"/>
        <w:sz w:val="12"/>
      </w:rPr>
      <w:t xml:space="preserve"> </w:t>
    </w:r>
    <w:r>
      <w:rPr>
        <w:rFonts w:ascii="Arial MT" w:hAnsi="Arial MT"/>
        <w:color w:val="000009"/>
        <w:sz w:val="12"/>
      </w:rPr>
      <w:t>Licitações</w:t>
    </w:r>
    <w:r>
      <w:rPr>
        <w:rFonts w:ascii="Arial MT" w:hAnsi="Arial MT"/>
        <w:color w:val="000009"/>
        <w:spacing w:val="-1"/>
        <w:sz w:val="12"/>
      </w:rPr>
      <w:t xml:space="preserve"> </w:t>
    </w:r>
    <w:r>
      <w:rPr>
        <w:rFonts w:ascii="Arial MT" w:hAnsi="Arial MT"/>
        <w:color w:val="000009"/>
        <w:sz w:val="12"/>
      </w:rPr>
      <w:t>e</w:t>
    </w:r>
    <w:r>
      <w:rPr>
        <w:rFonts w:ascii="Arial MT" w:hAnsi="Arial MT"/>
        <w:color w:val="000009"/>
        <w:spacing w:val="-3"/>
        <w:sz w:val="12"/>
      </w:rPr>
      <w:t xml:space="preserve"> </w:t>
    </w:r>
    <w:r>
      <w:rPr>
        <w:rFonts w:ascii="Arial MT" w:hAnsi="Arial MT"/>
        <w:color w:val="000009"/>
        <w:sz w:val="12"/>
      </w:rPr>
      <w:t>Contratos</w:t>
    </w:r>
    <w:r>
      <w:rPr>
        <w:rFonts w:ascii="Arial MT" w:hAnsi="Arial MT"/>
        <w:color w:val="000009"/>
        <w:spacing w:val="-8"/>
        <w:sz w:val="12"/>
      </w:rPr>
      <w:t xml:space="preserve"> </w:t>
    </w:r>
    <w:r>
      <w:rPr>
        <w:rFonts w:ascii="Arial MT" w:hAnsi="Arial MT"/>
        <w:color w:val="000009"/>
        <w:sz w:val="12"/>
      </w:rPr>
      <w:t>Administrativos</w:t>
    </w:r>
    <w:r>
      <w:rPr>
        <w:rFonts w:ascii="Arial MT" w:hAnsi="Arial MT"/>
        <w:color w:val="000009"/>
        <w:spacing w:val="-3"/>
        <w:sz w:val="12"/>
      </w:rPr>
      <w:t xml:space="preserve"> </w:t>
    </w:r>
    <w:r>
      <w:rPr>
        <w:rFonts w:ascii="Arial MT" w:hAnsi="Arial MT"/>
        <w:color w:val="000009"/>
        <w:sz w:val="12"/>
      </w:rPr>
      <w:t>da</w:t>
    </w:r>
    <w:r>
      <w:rPr>
        <w:rFonts w:ascii="Arial MT" w:hAnsi="Arial MT"/>
        <w:color w:val="000009"/>
        <w:spacing w:val="-1"/>
        <w:sz w:val="12"/>
      </w:rPr>
      <w:t xml:space="preserve"> </w:t>
    </w:r>
    <w:r>
      <w:rPr>
        <w:rFonts w:ascii="Arial MT" w:hAnsi="Arial MT"/>
        <w:color w:val="000009"/>
        <w:sz w:val="12"/>
      </w:rPr>
      <w:t>Consultoria-Geral</w:t>
    </w:r>
    <w:r>
      <w:rPr>
        <w:rFonts w:ascii="Arial MT" w:hAnsi="Arial MT"/>
        <w:color w:val="000009"/>
        <w:spacing w:val="-4"/>
        <w:sz w:val="12"/>
      </w:rPr>
      <w:t xml:space="preserve"> </w:t>
    </w:r>
    <w:r>
      <w:rPr>
        <w:rFonts w:ascii="Arial MT" w:hAnsi="Arial MT"/>
        <w:color w:val="000009"/>
        <w:sz w:val="12"/>
      </w:rPr>
      <w:t>da</w:t>
    </w:r>
    <w:r>
      <w:rPr>
        <w:rFonts w:ascii="Arial MT" w:hAnsi="Arial MT"/>
        <w:color w:val="000009"/>
        <w:spacing w:val="-1"/>
        <w:sz w:val="12"/>
      </w:rPr>
      <w:t xml:space="preserve"> </w:t>
    </w:r>
    <w:r>
      <w:rPr>
        <w:rFonts w:ascii="Arial MT" w:hAnsi="Arial MT"/>
        <w:color w:val="000009"/>
        <w:sz w:val="12"/>
      </w:rPr>
      <w:t>União</w:t>
    </w:r>
    <w:r>
      <w:rPr>
        <w:rFonts w:ascii="Arial MT" w:hAnsi="Arial MT"/>
        <w:color w:val="000009"/>
        <w:spacing w:val="-30"/>
        <w:sz w:val="12"/>
      </w:rPr>
      <w:t xml:space="preserve"> </w:t>
    </w:r>
  </w:p>
  <w:p>
    <w:pPr>
      <w:pStyle w:val="Normal"/>
      <w:spacing w:before="16" w:after="0"/>
      <w:ind w:left="20" w:right="0" w:hanging="0"/>
      <w:rPr/>
    </w:pPr>
    <w:r>
      <w:rPr>
        <w:rFonts w:ascii="Arial MT" w:hAnsi="Arial MT"/>
        <w:color w:val="000009"/>
        <w:sz w:val="12"/>
      </w:rPr>
      <w:t>Termo de</w:t>
    </w:r>
    <w:r>
      <w:rPr>
        <w:rFonts w:ascii="Arial MT" w:hAnsi="Arial MT"/>
        <w:color w:val="000009"/>
        <w:spacing w:val="-2"/>
        <w:sz w:val="12"/>
      </w:rPr>
      <w:t xml:space="preserve"> </w:t>
    </w:r>
    <w:r>
      <w:rPr>
        <w:rFonts w:ascii="Arial MT" w:hAnsi="Arial MT"/>
        <w:color w:val="000009"/>
        <w:sz w:val="12"/>
      </w:rPr>
      <w:t>Referência -</w:t>
    </w:r>
    <w:r>
      <w:rPr>
        <w:rFonts w:ascii="Arial MT" w:hAnsi="Arial MT"/>
        <w:color w:val="000009"/>
        <w:spacing w:val="-3"/>
        <w:sz w:val="12"/>
      </w:rPr>
      <w:t xml:space="preserve"> </w:t>
    </w:r>
    <w:r>
      <w:rPr>
        <w:rFonts w:ascii="Arial MT" w:hAnsi="Arial MT"/>
        <w:color w:val="000009"/>
        <w:sz w:val="12"/>
      </w:rPr>
      <w:t>Modelo para</w:t>
    </w:r>
    <w:r>
      <w:rPr>
        <w:rFonts w:ascii="Arial MT" w:hAnsi="Arial MT"/>
        <w:color w:val="000009"/>
        <w:spacing w:val="-2"/>
        <w:sz w:val="12"/>
      </w:rPr>
      <w:t xml:space="preserve"> </w:t>
    </w:r>
    <w:r>
      <w:rPr>
        <w:rFonts w:ascii="Arial MT" w:hAnsi="Arial MT"/>
        <w:color w:val="000009"/>
        <w:sz w:val="12"/>
      </w:rPr>
      <w:t>Pregão</w:t>
    </w:r>
    <w:r>
      <w:rPr>
        <w:rFonts w:ascii="Arial MT" w:hAnsi="Arial MT"/>
        <w:color w:val="000009"/>
        <w:spacing w:val="-2"/>
        <w:sz w:val="12"/>
      </w:rPr>
      <w:t xml:space="preserve"> </w:t>
    </w:r>
    <w:r>
      <w:rPr>
        <w:rFonts w:ascii="Arial MT" w:hAnsi="Arial MT"/>
        <w:color w:val="000009"/>
        <w:sz w:val="12"/>
      </w:rPr>
      <w:t>Eletrônico: Serviços</w:t>
    </w:r>
    <w:r>
      <w:rPr>
        <w:rFonts w:ascii="Arial MT" w:hAnsi="Arial MT"/>
        <w:color w:val="000009"/>
        <w:spacing w:val="-1"/>
        <w:sz w:val="12"/>
      </w:rPr>
      <w:t xml:space="preserve"> </w:t>
    </w:r>
    <w:r>
      <w:rPr>
        <w:rFonts w:ascii="Arial MT" w:hAnsi="Arial MT"/>
        <w:color w:val="000009"/>
        <w:sz w:val="12"/>
      </w:rPr>
      <w:t>Não Continuados</w:t>
    </w:r>
  </w:p>
  <w:p>
    <w:pPr>
      <w:pStyle w:val="Normal"/>
      <w:ind w:left="20" w:right="0" w:hanging="0"/>
      <w:rPr/>
    </w:pPr>
    <w:r>
      <w:rPr>
        <w:rFonts w:ascii="Arial MT" w:hAnsi="Arial MT"/>
        <w:color w:val="000009"/>
        <w:sz w:val="12"/>
      </w:rPr>
      <w:t>Atualização</w:t>
    </w:r>
    <w:r>
      <w:rPr>
        <w:rFonts w:ascii="Arial MT" w:hAnsi="Arial MT"/>
        <w:color w:val="000009"/>
        <w:spacing w:val="-4"/>
        <w:sz w:val="12"/>
      </w:rPr>
      <w:t xml:space="preserve"> </w:t>
    </w:r>
    <w:r>
      <w:rPr>
        <w:rFonts w:ascii="Arial MT" w:hAnsi="Arial MT"/>
        <w:color w:val="000009"/>
        <w:sz w:val="12"/>
      </w:rPr>
      <w:t>Julho/2021</w:t>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Rodap"/>
      <w:rPr>
        <w:rFonts w:ascii="Times New Roman" w:hAnsi="Times New Roman" w:cs="Times New Roman"/>
      </w:rPr>
    </w:pPr>
    <w:r>
      <w:rPr>
        <w:rFonts w:cs="Times New Roman" w:ascii="Times New Roman" w:hAnsi="Times New Roman"/>
      </w:rPr>
      <w:t>_____________________________________________________________________________________</w:t>
    </w:r>
  </w:p>
  <w:p>
    <w:pPr>
      <w:pStyle w:val="Normal"/>
      <w:spacing w:before="16" w:after="0"/>
      <w:ind w:left="20" w:right="0" w:hanging="0"/>
      <w:rPr/>
    </w:pPr>
    <w:r>
      <w:rPr>
        <w:rFonts w:ascii="Arial MT" w:hAnsi="Arial MT"/>
        <w:color w:val="000009"/>
        <w:spacing w:val="-1"/>
        <w:sz w:val="12"/>
      </w:rPr>
      <w:t>Câmara</w:t>
    </w:r>
    <w:r>
      <w:rPr>
        <w:rFonts w:ascii="Arial MT" w:hAnsi="Arial MT"/>
        <w:color w:val="000009"/>
        <w:spacing w:val="-4"/>
        <w:sz w:val="12"/>
      </w:rPr>
      <w:t xml:space="preserve"> </w:t>
    </w:r>
    <w:r>
      <w:rPr>
        <w:rFonts w:ascii="Arial MT" w:hAnsi="Arial MT"/>
        <w:color w:val="000009"/>
        <w:sz w:val="12"/>
      </w:rPr>
      <w:t>Nacional</w:t>
    </w:r>
    <w:r>
      <w:rPr>
        <w:rFonts w:ascii="Arial MT" w:hAnsi="Arial MT"/>
        <w:color w:val="000009"/>
        <w:spacing w:val="-3"/>
        <w:sz w:val="12"/>
      </w:rPr>
      <w:t xml:space="preserve"> </w:t>
    </w:r>
    <w:r>
      <w:rPr>
        <w:rFonts w:ascii="Arial MT" w:hAnsi="Arial MT"/>
        <w:color w:val="000009"/>
        <w:sz w:val="12"/>
      </w:rPr>
      <w:t>de</w:t>
    </w:r>
    <w:r>
      <w:rPr>
        <w:rFonts w:ascii="Arial MT" w:hAnsi="Arial MT"/>
        <w:color w:val="000009"/>
        <w:spacing w:val="-2"/>
        <w:sz w:val="12"/>
      </w:rPr>
      <w:t xml:space="preserve"> </w:t>
    </w:r>
    <w:r>
      <w:rPr>
        <w:rFonts w:ascii="Arial MT" w:hAnsi="Arial MT"/>
        <w:color w:val="000009"/>
        <w:sz w:val="12"/>
      </w:rPr>
      <w:t>Modelos</w:t>
    </w:r>
    <w:r>
      <w:rPr>
        <w:rFonts w:ascii="Arial MT" w:hAnsi="Arial MT"/>
        <w:color w:val="000009"/>
        <w:spacing w:val="-2"/>
        <w:sz w:val="12"/>
      </w:rPr>
      <w:t xml:space="preserve"> </w:t>
    </w:r>
    <w:r>
      <w:rPr>
        <w:rFonts w:ascii="Arial MT" w:hAnsi="Arial MT"/>
        <w:color w:val="000009"/>
        <w:sz w:val="12"/>
      </w:rPr>
      <w:t>de</w:t>
    </w:r>
    <w:r>
      <w:rPr>
        <w:rFonts w:ascii="Arial MT" w:hAnsi="Arial MT"/>
        <w:color w:val="000009"/>
        <w:spacing w:val="-3"/>
        <w:sz w:val="12"/>
      </w:rPr>
      <w:t xml:space="preserve"> </w:t>
    </w:r>
    <w:r>
      <w:rPr>
        <w:rFonts w:ascii="Arial MT" w:hAnsi="Arial MT"/>
        <w:color w:val="000009"/>
        <w:sz w:val="12"/>
      </w:rPr>
      <w:t>Licitações</w:t>
    </w:r>
    <w:r>
      <w:rPr>
        <w:rFonts w:ascii="Arial MT" w:hAnsi="Arial MT"/>
        <w:color w:val="000009"/>
        <w:spacing w:val="-1"/>
        <w:sz w:val="12"/>
      </w:rPr>
      <w:t xml:space="preserve"> </w:t>
    </w:r>
    <w:r>
      <w:rPr>
        <w:rFonts w:ascii="Arial MT" w:hAnsi="Arial MT"/>
        <w:color w:val="000009"/>
        <w:sz w:val="12"/>
      </w:rPr>
      <w:t>e</w:t>
    </w:r>
    <w:r>
      <w:rPr>
        <w:rFonts w:ascii="Arial MT" w:hAnsi="Arial MT"/>
        <w:color w:val="000009"/>
        <w:spacing w:val="-3"/>
        <w:sz w:val="12"/>
      </w:rPr>
      <w:t xml:space="preserve"> </w:t>
    </w:r>
    <w:r>
      <w:rPr>
        <w:rFonts w:ascii="Arial MT" w:hAnsi="Arial MT"/>
        <w:color w:val="000009"/>
        <w:sz w:val="12"/>
      </w:rPr>
      <w:t>Contratos</w:t>
    </w:r>
    <w:r>
      <w:rPr>
        <w:rFonts w:ascii="Arial MT" w:hAnsi="Arial MT"/>
        <w:color w:val="000009"/>
        <w:spacing w:val="-8"/>
        <w:sz w:val="12"/>
      </w:rPr>
      <w:t xml:space="preserve"> </w:t>
    </w:r>
    <w:r>
      <w:rPr>
        <w:rFonts w:ascii="Arial MT" w:hAnsi="Arial MT"/>
        <w:color w:val="000009"/>
        <w:sz w:val="12"/>
      </w:rPr>
      <w:t>Administrativos</w:t>
    </w:r>
    <w:r>
      <w:rPr>
        <w:rFonts w:ascii="Arial MT" w:hAnsi="Arial MT"/>
        <w:color w:val="000009"/>
        <w:spacing w:val="-3"/>
        <w:sz w:val="12"/>
      </w:rPr>
      <w:t xml:space="preserve"> </w:t>
    </w:r>
    <w:r>
      <w:rPr>
        <w:rFonts w:ascii="Arial MT" w:hAnsi="Arial MT"/>
        <w:color w:val="000009"/>
        <w:sz w:val="12"/>
      </w:rPr>
      <w:t>da</w:t>
    </w:r>
    <w:r>
      <w:rPr>
        <w:rFonts w:ascii="Arial MT" w:hAnsi="Arial MT"/>
        <w:color w:val="000009"/>
        <w:spacing w:val="-1"/>
        <w:sz w:val="12"/>
      </w:rPr>
      <w:t xml:space="preserve"> </w:t>
    </w:r>
    <w:r>
      <w:rPr>
        <w:rFonts w:ascii="Arial MT" w:hAnsi="Arial MT"/>
        <w:color w:val="000009"/>
        <w:sz w:val="12"/>
      </w:rPr>
      <w:t>Consultoria-Geral</w:t>
    </w:r>
    <w:r>
      <w:rPr>
        <w:rFonts w:ascii="Arial MT" w:hAnsi="Arial MT"/>
        <w:color w:val="000009"/>
        <w:spacing w:val="-4"/>
        <w:sz w:val="12"/>
      </w:rPr>
      <w:t xml:space="preserve"> </w:t>
    </w:r>
    <w:r>
      <w:rPr>
        <w:rFonts w:ascii="Arial MT" w:hAnsi="Arial MT"/>
        <w:color w:val="000009"/>
        <w:sz w:val="12"/>
      </w:rPr>
      <w:t>da</w:t>
    </w:r>
    <w:r>
      <w:rPr>
        <w:rFonts w:ascii="Arial MT" w:hAnsi="Arial MT"/>
        <w:color w:val="000009"/>
        <w:spacing w:val="-1"/>
        <w:sz w:val="12"/>
      </w:rPr>
      <w:t xml:space="preserve"> </w:t>
    </w:r>
    <w:r>
      <w:rPr>
        <w:rFonts w:ascii="Arial MT" w:hAnsi="Arial MT"/>
        <w:color w:val="000009"/>
        <w:sz w:val="12"/>
      </w:rPr>
      <w:t>União</w:t>
    </w:r>
    <w:r>
      <w:rPr>
        <w:rFonts w:ascii="Arial MT" w:hAnsi="Arial MT"/>
        <w:color w:val="000009"/>
        <w:spacing w:val="-30"/>
        <w:sz w:val="12"/>
      </w:rPr>
      <w:t xml:space="preserve"> </w:t>
    </w:r>
  </w:p>
  <w:p>
    <w:pPr>
      <w:pStyle w:val="Normal"/>
      <w:spacing w:before="16" w:after="0"/>
      <w:ind w:left="20" w:right="0" w:hanging="0"/>
      <w:rPr/>
    </w:pPr>
    <w:r>
      <w:rPr>
        <w:rFonts w:ascii="Arial MT" w:hAnsi="Arial MT"/>
        <w:color w:val="000009"/>
        <w:sz w:val="12"/>
      </w:rPr>
      <w:t>Termo de</w:t>
    </w:r>
    <w:r>
      <w:rPr>
        <w:rFonts w:ascii="Arial MT" w:hAnsi="Arial MT"/>
        <w:color w:val="000009"/>
        <w:spacing w:val="-2"/>
        <w:sz w:val="12"/>
      </w:rPr>
      <w:t xml:space="preserve"> </w:t>
    </w:r>
    <w:r>
      <w:rPr>
        <w:rFonts w:ascii="Arial MT" w:hAnsi="Arial MT"/>
        <w:color w:val="000009"/>
        <w:sz w:val="12"/>
      </w:rPr>
      <w:t>Referência -</w:t>
    </w:r>
    <w:r>
      <w:rPr>
        <w:rFonts w:ascii="Arial MT" w:hAnsi="Arial MT"/>
        <w:color w:val="000009"/>
        <w:spacing w:val="-3"/>
        <w:sz w:val="12"/>
      </w:rPr>
      <w:t xml:space="preserve"> </w:t>
    </w:r>
    <w:r>
      <w:rPr>
        <w:rFonts w:ascii="Arial MT" w:hAnsi="Arial MT"/>
        <w:color w:val="000009"/>
        <w:sz w:val="12"/>
      </w:rPr>
      <w:t>Modelo para</w:t>
    </w:r>
    <w:r>
      <w:rPr>
        <w:rFonts w:ascii="Arial MT" w:hAnsi="Arial MT"/>
        <w:color w:val="000009"/>
        <w:spacing w:val="-2"/>
        <w:sz w:val="12"/>
      </w:rPr>
      <w:t xml:space="preserve"> </w:t>
    </w:r>
    <w:r>
      <w:rPr>
        <w:rFonts w:ascii="Arial MT" w:hAnsi="Arial MT"/>
        <w:color w:val="000009"/>
        <w:sz w:val="12"/>
      </w:rPr>
      <w:t>Pregão</w:t>
    </w:r>
    <w:r>
      <w:rPr>
        <w:rFonts w:ascii="Arial MT" w:hAnsi="Arial MT"/>
        <w:color w:val="000009"/>
        <w:spacing w:val="-2"/>
        <w:sz w:val="12"/>
      </w:rPr>
      <w:t xml:space="preserve"> </w:t>
    </w:r>
    <w:r>
      <w:rPr>
        <w:rFonts w:ascii="Arial MT" w:hAnsi="Arial MT"/>
        <w:color w:val="000009"/>
        <w:sz w:val="12"/>
      </w:rPr>
      <w:t>Eletrônico: Serviços</w:t>
    </w:r>
    <w:r>
      <w:rPr>
        <w:rFonts w:ascii="Arial MT" w:hAnsi="Arial MT"/>
        <w:color w:val="000009"/>
        <w:spacing w:val="-1"/>
        <w:sz w:val="12"/>
      </w:rPr>
      <w:t xml:space="preserve"> </w:t>
    </w:r>
    <w:r>
      <w:rPr>
        <w:rFonts w:ascii="Arial MT" w:hAnsi="Arial MT"/>
        <w:color w:val="000009"/>
        <w:sz w:val="12"/>
      </w:rPr>
      <w:t>Não Continuados</w:t>
    </w:r>
  </w:p>
  <w:p>
    <w:pPr>
      <w:pStyle w:val="Normal"/>
      <w:ind w:left="20" w:right="0" w:hanging="0"/>
      <w:rPr/>
    </w:pPr>
    <w:r>
      <w:rPr>
        <w:rFonts w:ascii="Arial MT" w:hAnsi="Arial MT"/>
        <w:color w:val="000009"/>
        <w:sz w:val="12"/>
      </w:rPr>
      <w:t>Atualização</w:t>
    </w:r>
    <w:r>
      <w:rPr>
        <w:rFonts w:ascii="Arial MT" w:hAnsi="Arial MT"/>
        <w:color w:val="000009"/>
        <w:spacing w:val="-4"/>
        <w:sz w:val="12"/>
      </w:rPr>
      <w:t xml:space="preserve"> </w:t>
    </w:r>
    <w:r>
      <w:rPr>
        <w:rFonts w:ascii="Arial MT" w:hAnsi="Arial MT"/>
        <w:color w:val="000009"/>
        <w:sz w:val="12"/>
      </w:rPr>
      <w:t>Julho/2021</w:t>
    </w:r>
  </w:p>
  <w:p>
    <w:pPr>
      <w:pStyle w:val="Rodap"/>
      <w:rPr>
        <w:sz w:val="12"/>
        <w:szCs w:val="12"/>
      </w:rPr>
    </w:pPr>
    <w:r>
      <w:rPr>
        <w:sz w:val="12"/>
        <w:szCs w:val="12"/>
      </w:rPr>
    </w:r>
  </w:p>
</w:ft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abstractNum w:abstractNumId="2">
    <w:lvl w:ilvl="0">
      <w:start w:val="1"/>
      <w:numFmt w:val="decimal"/>
      <w:lvlText w:val="%1."/>
      <w:lvlJc w:val="left"/>
      <w:pPr>
        <w:tabs>
          <w:tab w:val="num" w:pos="0"/>
        </w:tabs>
        <w:ind w:left="786" w:hanging="360"/>
      </w:pPr>
      <w:rPr>
        <w:sz w:val="20"/>
        <w:szCs w:val="20"/>
      </w:rPr>
    </w:lvl>
    <w:lvl w:ilvl="1">
      <w:start w:val="1"/>
      <w:numFmt w:val="decimal"/>
      <w:lvlText w:val="%1.%2."/>
      <w:lvlJc w:val="left"/>
      <w:pPr>
        <w:tabs>
          <w:tab w:val="num" w:pos="0"/>
        </w:tabs>
        <w:ind w:left="716" w:hanging="432"/>
      </w:pPr>
      <w:rPr>
        <w:sz w:val="20"/>
        <w:i w:val="false"/>
        <w:b w:val="false"/>
        <w:szCs w:val="20"/>
        <w:color w:val="auto"/>
        <w:lang w:val="pt-BR"/>
      </w:rPr>
    </w:lvl>
    <w:lvl w:ilvl="2">
      <w:start w:val="1"/>
      <w:numFmt w:val="decimal"/>
      <w:lvlText w:val="%1.%2.%3."/>
      <w:lvlJc w:val="left"/>
      <w:pPr>
        <w:tabs>
          <w:tab w:val="num" w:pos="0"/>
        </w:tabs>
        <w:ind w:left="1781" w:hanging="504"/>
      </w:pPr>
      <w:rPr>
        <w:sz w:val="20"/>
        <w:b w:val="false"/>
        <w:szCs w:val="20"/>
        <w:color w:val="auto"/>
      </w:rPr>
    </w:lvl>
    <w:lvl w:ilvl="3">
      <w:start w:val="1"/>
      <w:numFmt w:val="decimal"/>
      <w:lvlText w:val="%1.%2.%3.%4."/>
      <w:lvlJc w:val="left"/>
      <w:pPr>
        <w:tabs>
          <w:tab w:val="num" w:pos="0"/>
        </w:tabs>
        <w:ind w:left="2491" w:hanging="648"/>
      </w:pPr>
      <w:rPr>
        <w:sz w:val="20"/>
        <w:i w:val="false"/>
        <w:szCs w:val="20"/>
      </w:rPr>
    </w:lvl>
    <w:lvl w:ilvl="4">
      <w:start w:val="1"/>
      <w:numFmt w:val="decimal"/>
      <w:lvlText w:val="%1.%2.%3.%4.%5."/>
      <w:lvlJc w:val="left"/>
      <w:pPr>
        <w:tabs>
          <w:tab w:val="num" w:pos="0"/>
        </w:tabs>
        <w:ind w:left="3485"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3">
    <w:lvl w:ilvl="0">
      <w:start w:val="1"/>
      <w:numFmt w:val="bullet"/>
      <w:lvlText w:val=""/>
      <w:lvlJc w:val="left"/>
      <w:pPr>
        <w:tabs>
          <w:tab w:val="num" w:pos="1492"/>
        </w:tabs>
        <w:ind w:left="1492"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lvl w:ilvl="0">
      <w:start w:val="1"/>
      <w:numFmt w:val="decimal"/>
      <w:lvlText w:val="%1."/>
      <w:lvlJc w:val="left"/>
      <w:pPr>
        <w:tabs>
          <w:tab w:val="num" w:pos="0"/>
        </w:tabs>
        <w:ind w:left="502" w:hanging="360"/>
      </w:pPr>
      <w:rPr>
        <w:dstrike w:val="false"/>
        <w:strike w:val="false"/>
        <w:i w:val="false"/>
        <w:b/>
        <w:rFonts w:ascii="Arial" w:hAnsi="Arial"/>
      </w:rPr>
    </w:lvl>
    <w:lvl w:ilvl="1">
      <w:start w:val="1"/>
      <w:numFmt w:val="decimal"/>
      <w:lvlText w:val="%1.%2."/>
      <w:lvlJc w:val="left"/>
      <w:pPr>
        <w:tabs>
          <w:tab w:val="num" w:pos="0"/>
        </w:tabs>
        <w:ind w:left="858" w:hanging="432"/>
      </w:pPr>
      <w:rPr>
        <w:dstrike w:val="false"/>
        <w:strike w:val="false"/>
        <w:b w:val="false"/>
        <w:rFonts w:ascii="Arial" w:hAnsi="Arial"/>
      </w:rPr>
    </w:lvl>
    <w:lvl w:ilvl="2">
      <w:start w:val="1"/>
      <w:numFmt w:val="decimal"/>
      <w:lvlText w:val="%1.%2.%3."/>
      <w:lvlJc w:val="left"/>
      <w:pPr>
        <w:tabs>
          <w:tab w:val="num" w:pos="0"/>
        </w:tabs>
        <w:ind w:left="1224" w:hanging="504"/>
      </w:pPr>
      <w:rPr>
        <w:dstrike w:val="false"/>
        <w:strike w:val="false"/>
        <w:i w:val="false"/>
      </w:r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4053"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5">
    <w:lvl w:ilvl="0">
      <w:start w:val="1"/>
      <w:numFmt w:val="upperRoman"/>
      <w:lvlText w:val="%1."/>
      <w:lvlJc w:val="left"/>
      <w:pPr>
        <w:tabs>
          <w:tab w:val="num" w:pos="0"/>
        </w:tabs>
        <w:ind w:left="132" w:hanging="210"/>
      </w:pPr>
      <w:rPr>
        <w:sz w:val="20"/>
        <w:spacing w:val="0"/>
        <w:szCs w:val="20"/>
        <w:w w:val="99"/>
        <w:rFonts w:ascii="Arial" w:hAnsi="Arial" w:eastAsia="Times New Roman" w:cs="Arial"/>
      </w:rPr>
    </w:lvl>
    <w:lvl w:ilvl="1">
      <w:start w:val="1"/>
      <w:numFmt w:val="lowerLetter"/>
      <w:lvlText w:val="%2."/>
      <w:lvlJc w:val="left"/>
      <w:pPr>
        <w:tabs>
          <w:tab w:val="num" w:pos="0"/>
        </w:tabs>
        <w:ind w:left="416" w:hanging="435"/>
      </w:pPr>
      <w:rPr>
        <w:sz w:val="20"/>
        <w:spacing w:val="0"/>
        <w:szCs w:val="24"/>
        <w:w w:val="99"/>
        <w:rFonts w:ascii="Times New Roman" w:hAnsi="Times New Roman" w:eastAsia="Times New Roman" w:cs="Times New Roman"/>
      </w:rPr>
    </w:lvl>
    <w:lvl w:ilvl="2">
      <w:start w:val="1"/>
      <w:numFmt w:val="bullet"/>
      <w:lvlText w:val=""/>
      <w:lvlJc w:val="left"/>
      <w:pPr>
        <w:tabs>
          <w:tab w:val="num" w:pos="0"/>
        </w:tabs>
        <w:ind w:left="1538" w:hanging="435"/>
      </w:pPr>
      <w:rPr>
        <w:rFonts w:ascii="Symbol" w:hAnsi="Symbol" w:cs="Symbol" w:hint="default"/>
      </w:rPr>
    </w:lvl>
    <w:lvl w:ilvl="3">
      <w:start w:val="1"/>
      <w:numFmt w:val="bullet"/>
      <w:lvlText w:val=""/>
      <w:lvlJc w:val="left"/>
      <w:pPr>
        <w:tabs>
          <w:tab w:val="num" w:pos="0"/>
        </w:tabs>
        <w:ind w:left="2656" w:hanging="435"/>
      </w:pPr>
      <w:rPr>
        <w:rFonts w:ascii="Symbol" w:hAnsi="Symbol" w:cs="Symbol" w:hint="default"/>
      </w:rPr>
    </w:lvl>
    <w:lvl w:ilvl="4">
      <w:start w:val="1"/>
      <w:numFmt w:val="bullet"/>
      <w:lvlText w:val=""/>
      <w:lvlJc w:val="left"/>
      <w:pPr>
        <w:tabs>
          <w:tab w:val="num" w:pos="0"/>
        </w:tabs>
        <w:ind w:left="3775" w:hanging="435"/>
      </w:pPr>
      <w:rPr>
        <w:rFonts w:ascii="Symbol" w:hAnsi="Symbol" w:cs="Symbol" w:hint="default"/>
      </w:rPr>
    </w:lvl>
    <w:lvl w:ilvl="5">
      <w:start w:val="1"/>
      <w:numFmt w:val="bullet"/>
      <w:lvlText w:val=""/>
      <w:lvlJc w:val="left"/>
      <w:pPr>
        <w:tabs>
          <w:tab w:val="num" w:pos="0"/>
        </w:tabs>
        <w:ind w:left="4893" w:hanging="435"/>
      </w:pPr>
      <w:rPr>
        <w:rFonts w:ascii="Symbol" w:hAnsi="Symbol" w:cs="Symbol" w:hint="default"/>
      </w:rPr>
    </w:lvl>
    <w:lvl w:ilvl="6">
      <w:start w:val="1"/>
      <w:numFmt w:val="bullet"/>
      <w:lvlText w:val=""/>
      <w:lvlJc w:val="left"/>
      <w:pPr>
        <w:tabs>
          <w:tab w:val="num" w:pos="0"/>
        </w:tabs>
        <w:ind w:left="6012" w:hanging="435"/>
      </w:pPr>
      <w:rPr>
        <w:rFonts w:ascii="Symbol" w:hAnsi="Symbol" w:cs="Symbol" w:hint="default"/>
      </w:rPr>
    </w:lvl>
    <w:lvl w:ilvl="7">
      <w:start w:val="1"/>
      <w:numFmt w:val="bullet"/>
      <w:lvlText w:val=""/>
      <w:lvlJc w:val="left"/>
      <w:pPr>
        <w:tabs>
          <w:tab w:val="num" w:pos="0"/>
        </w:tabs>
        <w:ind w:left="7130" w:hanging="435"/>
      </w:pPr>
      <w:rPr>
        <w:rFonts w:ascii="Symbol" w:hAnsi="Symbol" w:cs="Symbol" w:hint="default"/>
      </w:rPr>
    </w:lvl>
    <w:lvl w:ilvl="8">
      <w:start w:val="1"/>
      <w:numFmt w:val="bullet"/>
      <w:lvlText w:val=""/>
      <w:lvlJc w:val="left"/>
      <w:pPr>
        <w:tabs>
          <w:tab w:val="num" w:pos="0"/>
        </w:tabs>
        <w:ind w:left="8249" w:hanging="435"/>
      </w:pPr>
      <w:rPr>
        <w:rFonts w:ascii="Symbol" w:hAnsi="Symbol" w:cs="Symbol" w:hint="default"/>
      </w:rPr>
    </w:lvl>
  </w:abstractNum>
  <w:abstractNum w:abstractNumId="6">
    <w:lvl w:ilvl="0">
      <w:start w:val="3"/>
      <w:numFmt w:val="upperRoman"/>
      <w:lvlText w:val="%1."/>
      <w:lvlJc w:val="left"/>
      <w:pPr>
        <w:tabs>
          <w:tab w:val="num" w:pos="0"/>
        </w:tabs>
        <w:ind w:left="852" w:hanging="720"/>
      </w:pPr>
    </w:lvl>
    <w:lvl w:ilvl="1">
      <w:start w:val="1"/>
      <w:numFmt w:val="lowerLetter"/>
      <w:lvlText w:val="%2."/>
      <w:lvlJc w:val="left"/>
      <w:pPr>
        <w:tabs>
          <w:tab w:val="num" w:pos="0"/>
        </w:tabs>
        <w:ind w:left="1212" w:hanging="360"/>
      </w:pPr>
    </w:lvl>
    <w:lvl w:ilvl="2">
      <w:start w:val="1"/>
      <w:numFmt w:val="lowerRoman"/>
      <w:lvlText w:val="%3."/>
      <w:lvlJc w:val="right"/>
      <w:pPr>
        <w:tabs>
          <w:tab w:val="num" w:pos="0"/>
        </w:tabs>
        <w:ind w:left="1932" w:hanging="180"/>
      </w:pPr>
    </w:lvl>
    <w:lvl w:ilvl="3">
      <w:start w:val="1"/>
      <w:numFmt w:val="decimal"/>
      <w:lvlText w:val="%4."/>
      <w:lvlJc w:val="left"/>
      <w:pPr>
        <w:tabs>
          <w:tab w:val="num" w:pos="0"/>
        </w:tabs>
        <w:ind w:left="2652" w:hanging="360"/>
      </w:pPr>
    </w:lvl>
    <w:lvl w:ilvl="4">
      <w:start w:val="1"/>
      <w:numFmt w:val="lowerLetter"/>
      <w:lvlText w:val="%5."/>
      <w:lvlJc w:val="left"/>
      <w:pPr>
        <w:tabs>
          <w:tab w:val="num" w:pos="0"/>
        </w:tabs>
        <w:ind w:left="3372" w:hanging="360"/>
      </w:pPr>
    </w:lvl>
    <w:lvl w:ilvl="5">
      <w:start w:val="1"/>
      <w:numFmt w:val="lowerRoman"/>
      <w:lvlText w:val="%6."/>
      <w:lvlJc w:val="right"/>
      <w:pPr>
        <w:tabs>
          <w:tab w:val="num" w:pos="0"/>
        </w:tabs>
        <w:ind w:left="4092" w:hanging="180"/>
      </w:pPr>
    </w:lvl>
    <w:lvl w:ilvl="6">
      <w:start w:val="1"/>
      <w:numFmt w:val="decimal"/>
      <w:lvlText w:val="%7."/>
      <w:lvlJc w:val="left"/>
      <w:pPr>
        <w:tabs>
          <w:tab w:val="num" w:pos="0"/>
        </w:tabs>
        <w:ind w:left="4812" w:hanging="360"/>
      </w:pPr>
    </w:lvl>
    <w:lvl w:ilvl="7">
      <w:start w:val="1"/>
      <w:numFmt w:val="lowerLetter"/>
      <w:lvlText w:val="%8."/>
      <w:lvlJc w:val="left"/>
      <w:pPr>
        <w:tabs>
          <w:tab w:val="num" w:pos="0"/>
        </w:tabs>
        <w:ind w:left="5532" w:hanging="360"/>
      </w:pPr>
    </w:lvl>
    <w:lvl w:ilvl="8">
      <w:start w:val="1"/>
      <w:numFmt w:val="lowerRoman"/>
      <w:lvlText w:val="%9."/>
      <w:lvlJc w:val="right"/>
      <w:pPr>
        <w:tabs>
          <w:tab w:val="num" w:pos="0"/>
        </w:tabs>
        <w:ind w:left="6252" w:hanging="180"/>
      </w:pPr>
    </w:lvl>
  </w:abstractNum>
  <w:abstractNum w:abstractNumId="7">
    <w:lvl w:ilvl="0">
      <w:start w:val="1"/>
      <w:numFmt w:val="lowerLetter"/>
      <w:lvlText w:val="%1)"/>
      <w:lvlJc w:val="left"/>
      <w:pPr>
        <w:tabs>
          <w:tab w:val="num" w:pos="0"/>
        </w:tabs>
        <w:ind w:left="704" w:hanging="202"/>
      </w:pPr>
      <w:rPr>
        <w:sz w:val="20"/>
        <w:szCs w:val="20"/>
        <w:w w:val="100"/>
        <w:rFonts w:ascii="Calibri" w:hAnsi="Calibri" w:eastAsia="Calibri" w:cs="Calibri"/>
        <w:lang w:val="pt-PT" w:eastAsia="en-US" w:bidi="ar-SA"/>
      </w:rPr>
    </w:lvl>
    <w:lvl w:ilvl="1">
      <w:start w:val="1"/>
      <w:numFmt w:val="bullet"/>
      <w:lvlText w:val=""/>
      <w:lvlJc w:val="left"/>
      <w:pPr>
        <w:tabs>
          <w:tab w:val="num" w:pos="0"/>
        </w:tabs>
        <w:ind w:left="1630" w:hanging="202"/>
      </w:pPr>
      <w:rPr>
        <w:rFonts w:ascii="Symbol" w:hAnsi="Symbol" w:cs="Symbol" w:hint="default"/>
        <w:lang w:val="pt-PT" w:eastAsia="en-US" w:bidi="ar-SA"/>
      </w:rPr>
    </w:lvl>
    <w:lvl w:ilvl="2">
      <w:start w:val="1"/>
      <w:numFmt w:val="bullet"/>
      <w:lvlText w:val=""/>
      <w:lvlJc w:val="left"/>
      <w:pPr>
        <w:tabs>
          <w:tab w:val="num" w:pos="0"/>
        </w:tabs>
        <w:ind w:left="2560" w:hanging="202"/>
      </w:pPr>
      <w:rPr>
        <w:rFonts w:ascii="Symbol" w:hAnsi="Symbol" w:cs="Symbol" w:hint="default"/>
        <w:lang w:val="pt-PT" w:eastAsia="en-US" w:bidi="ar-SA"/>
      </w:rPr>
    </w:lvl>
    <w:lvl w:ilvl="3">
      <w:start w:val="1"/>
      <w:numFmt w:val="bullet"/>
      <w:lvlText w:val=""/>
      <w:lvlJc w:val="left"/>
      <w:pPr>
        <w:tabs>
          <w:tab w:val="num" w:pos="0"/>
        </w:tabs>
        <w:ind w:left="3490" w:hanging="202"/>
      </w:pPr>
      <w:rPr>
        <w:rFonts w:ascii="Symbol" w:hAnsi="Symbol" w:cs="Symbol" w:hint="default"/>
        <w:lang w:val="pt-PT" w:eastAsia="en-US" w:bidi="ar-SA"/>
      </w:rPr>
    </w:lvl>
    <w:lvl w:ilvl="4">
      <w:start w:val="1"/>
      <w:numFmt w:val="bullet"/>
      <w:lvlText w:val=""/>
      <w:lvlJc w:val="left"/>
      <w:pPr>
        <w:tabs>
          <w:tab w:val="num" w:pos="0"/>
        </w:tabs>
        <w:ind w:left="4420" w:hanging="202"/>
      </w:pPr>
      <w:rPr>
        <w:rFonts w:ascii="Symbol" w:hAnsi="Symbol" w:cs="Symbol" w:hint="default"/>
        <w:lang w:val="pt-PT" w:eastAsia="en-US" w:bidi="ar-SA"/>
      </w:rPr>
    </w:lvl>
    <w:lvl w:ilvl="5">
      <w:start w:val="1"/>
      <w:numFmt w:val="bullet"/>
      <w:lvlText w:val=""/>
      <w:lvlJc w:val="left"/>
      <w:pPr>
        <w:tabs>
          <w:tab w:val="num" w:pos="0"/>
        </w:tabs>
        <w:ind w:left="5350" w:hanging="202"/>
      </w:pPr>
      <w:rPr>
        <w:rFonts w:ascii="Symbol" w:hAnsi="Symbol" w:cs="Symbol" w:hint="default"/>
        <w:lang w:val="pt-PT" w:eastAsia="en-US" w:bidi="ar-SA"/>
      </w:rPr>
    </w:lvl>
    <w:lvl w:ilvl="6">
      <w:start w:val="1"/>
      <w:numFmt w:val="bullet"/>
      <w:lvlText w:val=""/>
      <w:lvlJc w:val="left"/>
      <w:pPr>
        <w:tabs>
          <w:tab w:val="num" w:pos="0"/>
        </w:tabs>
        <w:ind w:left="6280" w:hanging="202"/>
      </w:pPr>
      <w:rPr>
        <w:rFonts w:ascii="Symbol" w:hAnsi="Symbol" w:cs="Symbol" w:hint="default"/>
        <w:lang w:val="pt-PT" w:eastAsia="en-US" w:bidi="ar-SA"/>
      </w:rPr>
    </w:lvl>
    <w:lvl w:ilvl="7">
      <w:start w:val="1"/>
      <w:numFmt w:val="bullet"/>
      <w:lvlText w:val=""/>
      <w:lvlJc w:val="left"/>
      <w:pPr>
        <w:tabs>
          <w:tab w:val="num" w:pos="0"/>
        </w:tabs>
        <w:ind w:left="7210" w:hanging="202"/>
      </w:pPr>
      <w:rPr>
        <w:rFonts w:ascii="Symbol" w:hAnsi="Symbol" w:cs="Symbol" w:hint="default"/>
        <w:lang w:val="pt-PT" w:eastAsia="en-US" w:bidi="ar-SA"/>
      </w:rPr>
    </w:lvl>
    <w:lvl w:ilvl="8">
      <w:start w:val="1"/>
      <w:numFmt w:val="bullet"/>
      <w:lvlText w:val=""/>
      <w:lvlJc w:val="left"/>
      <w:pPr>
        <w:tabs>
          <w:tab w:val="num" w:pos="0"/>
        </w:tabs>
        <w:ind w:left="8140" w:hanging="202"/>
      </w:pPr>
      <w:rPr>
        <w:rFonts w:ascii="Symbol" w:hAnsi="Symbol" w:cs="Symbol" w:hint="default"/>
        <w:lang w:val="pt-PT" w:eastAsia="en-US" w:bidi="ar-SA"/>
      </w:rPr>
    </w:lvl>
  </w:abstractNum>
  <w:abstractNum w:abstractNumId="8">
    <w:lvl w:ilvl="0">
      <w:start w:val="22"/>
      <w:numFmt w:val="decimal"/>
      <w:lvlText w:val="%1"/>
      <w:lvlJc w:val="left"/>
      <w:pPr>
        <w:tabs>
          <w:tab w:val="num" w:pos="0"/>
        </w:tabs>
        <w:ind w:left="136" w:hanging="720"/>
      </w:pPr>
      <w:rPr>
        <w:lang w:val="pt-PT" w:eastAsia="en-US" w:bidi="ar-SA"/>
      </w:rPr>
    </w:lvl>
    <w:lvl w:ilvl="1">
      <w:start w:val="3"/>
      <w:numFmt w:val="decimal"/>
      <w:lvlText w:val="%1.%2"/>
      <w:lvlJc w:val="left"/>
      <w:pPr>
        <w:tabs>
          <w:tab w:val="num" w:pos="0"/>
        </w:tabs>
        <w:ind w:left="136" w:hanging="720"/>
      </w:pPr>
      <w:rPr>
        <w:lang w:val="pt-PT" w:eastAsia="en-US" w:bidi="ar-SA"/>
      </w:rPr>
    </w:lvl>
    <w:lvl w:ilvl="2">
      <w:start w:val="1"/>
      <w:numFmt w:val="decimal"/>
      <w:lvlText w:val="%1.%2.%3."/>
      <w:lvlJc w:val="left"/>
      <w:pPr>
        <w:tabs>
          <w:tab w:val="num" w:pos="0"/>
        </w:tabs>
        <w:ind w:left="136" w:hanging="720"/>
      </w:pPr>
      <w:rPr>
        <w:sz w:val="20"/>
        <w:spacing w:val="-1"/>
        <w:b w:val="false"/>
        <w:szCs w:val="20"/>
        <w:bCs/>
        <w:w w:val="100"/>
        <w:rFonts w:ascii="Calibri" w:hAnsi="Calibri" w:eastAsia="Calibri" w:cs="Calibri"/>
        <w:color w:val="000009"/>
        <w:lang w:val="pt-PT" w:eastAsia="en-US" w:bidi="ar-SA"/>
      </w:rPr>
    </w:lvl>
    <w:lvl w:ilvl="3">
      <w:start w:val="1"/>
      <w:numFmt w:val="decimal"/>
      <w:lvlText w:val="%1.%2.%3.%4."/>
      <w:lvlJc w:val="left"/>
      <w:pPr>
        <w:tabs>
          <w:tab w:val="num" w:pos="0"/>
        </w:tabs>
        <w:ind w:left="136" w:hanging="720"/>
      </w:pPr>
      <w:rPr>
        <w:sz w:val="20"/>
        <w:spacing w:val="-3"/>
        <w:szCs w:val="20"/>
        <w:w w:val="100"/>
        <w:rFonts w:ascii="Calibri" w:hAnsi="Calibri" w:eastAsia="Calibri" w:cs="Calibri"/>
        <w:color w:val="000009"/>
        <w:lang w:val="pt-PT" w:eastAsia="en-US" w:bidi="ar-SA"/>
      </w:rPr>
    </w:lvl>
    <w:lvl w:ilvl="4">
      <w:start w:val="1"/>
      <w:numFmt w:val="decimal"/>
      <w:lvlText w:val="%1.%2.%3.%4.%5."/>
      <w:lvlJc w:val="left"/>
      <w:pPr>
        <w:tabs>
          <w:tab w:val="num" w:pos="0"/>
        </w:tabs>
        <w:ind w:left="136" w:hanging="1020"/>
      </w:pPr>
      <w:rPr>
        <w:sz w:val="20"/>
        <w:spacing w:val="-3"/>
        <w:szCs w:val="20"/>
        <w:w w:val="100"/>
        <w:rFonts w:ascii="Calibri" w:hAnsi="Calibri" w:eastAsia="Calibri" w:cs="Calibri"/>
        <w:color w:val="000009"/>
        <w:lang w:val="pt-PT" w:eastAsia="en-US" w:bidi="ar-SA"/>
      </w:rPr>
    </w:lvl>
    <w:lvl w:ilvl="5">
      <w:start w:val="1"/>
      <w:numFmt w:val="bullet"/>
      <w:lvlText w:val=""/>
      <w:lvlJc w:val="left"/>
      <w:pPr>
        <w:tabs>
          <w:tab w:val="num" w:pos="0"/>
        </w:tabs>
        <w:ind w:left="5070" w:hanging="1020"/>
      </w:pPr>
      <w:rPr>
        <w:rFonts w:ascii="Symbol" w:hAnsi="Symbol" w:cs="Symbol" w:hint="default"/>
        <w:lang w:val="pt-PT" w:eastAsia="en-US" w:bidi="ar-SA"/>
      </w:rPr>
    </w:lvl>
    <w:lvl w:ilvl="6">
      <w:start w:val="1"/>
      <w:numFmt w:val="bullet"/>
      <w:lvlText w:val=""/>
      <w:lvlJc w:val="left"/>
      <w:pPr>
        <w:tabs>
          <w:tab w:val="num" w:pos="0"/>
        </w:tabs>
        <w:ind w:left="6056" w:hanging="1020"/>
      </w:pPr>
      <w:rPr>
        <w:rFonts w:ascii="Symbol" w:hAnsi="Symbol" w:cs="Symbol" w:hint="default"/>
        <w:lang w:val="pt-PT" w:eastAsia="en-US" w:bidi="ar-SA"/>
      </w:rPr>
    </w:lvl>
    <w:lvl w:ilvl="7">
      <w:start w:val="1"/>
      <w:numFmt w:val="bullet"/>
      <w:lvlText w:val=""/>
      <w:lvlJc w:val="left"/>
      <w:pPr>
        <w:tabs>
          <w:tab w:val="num" w:pos="0"/>
        </w:tabs>
        <w:ind w:left="7042" w:hanging="1020"/>
      </w:pPr>
      <w:rPr>
        <w:rFonts w:ascii="Symbol" w:hAnsi="Symbol" w:cs="Symbol" w:hint="default"/>
        <w:lang w:val="pt-PT" w:eastAsia="en-US" w:bidi="ar-SA"/>
      </w:rPr>
    </w:lvl>
    <w:lvl w:ilvl="8">
      <w:start w:val="1"/>
      <w:numFmt w:val="bullet"/>
      <w:lvlText w:val=""/>
      <w:lvlJc w:val="left"/>
      <w:pPr>
        <w:tabs>
          <w:tab w:val="num" w:pos="0"/>
        </w:tabs>
        <w:ind w:left="8028" w:hanging="1020"/>
      </w:pPr>
      <w:rPr>
        <w:rFonts w:ascii="Symbol" w:hAnsi="Symbol" w:cs="Symbol" w:hint="default"/>
        <w:lang w:val="pt-PT" w:eastAsia="en-US" w:bidi="ar-SA"/>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bering>
</file>

<file path=word/settings.xml><?xml version="1.0" encoding="utf-8"?>
<w:settings xmlns:w="http://schemas.openxmlformats.org/wordprocessingml/2006/main">
  <w:zoom w:percent="110"/>
  <w:defaultTabStop w:val="708"/>
  <w:autoHyphenation w:val="true"/>
  <w:compat>
    <w:compatSetting w:name="compatibilityMode" w:uri="http://schemas.microsoft.com/office/word" w:val="15"/>
  </w:compat>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pt-BR" w:eastAsia="pt-BR" w:bidi="ar-SA"/>
      </w:rPr>
    </w:rPrDefault>
    <w:pPrDefault>
      <w:pPr>
        <w:suppressAutoHyphens w:val="true"/>
      </w:pPr>
    </w:pPrDefault>
  </w:docDefaults>
  <w:style w:type="paragraph" w:styleId="Normal">
    <w:name w:val="Normal"/>
    <w:qFormat/>
    <w:pPr>
      <w:widowControl/>
      <w:suppressAutoHyphens w:val="true"/>
      <w:kinsoku w:val="true"/>
      <w:overflowPunct w:val="true"/>
      <w:autoSpaceDE w:val="true"/>
      <w:bidi w:val="0"/>
      <w:spacing w:before="0" w:after="0"/>
      <w:jc w:val="left"/>
    </w:pPr>
    <w:rPr>
      <w:rFonts w:ascii="Arial" w:hAnsi="Arial" w:eastAsia="Times New Roman" w:cs="Tahoma"/>
      <w:color w:val="auto"/>
      <w:kern w:val="0"/>
      <w:sz w:val="20"/>
      <w:szCs w:val="24"/>
      <w:lang w:val="pt-BR" w:eastAsia="pt-BR" w:bidi="ar-SA"/>
    </w:rPr>
  </w:style>
  <w:style w:type="paragraph" w:styleId="Ttulo1">
    <w:name w:val="Heading 1"/>
    <w:basedOn w:val="Normal"/>
    <w:next w:val="Normal"/>
    <w:qFormat/>
    <w:pPr>
      <w:keepNext w:val="true"/>
      <w:keepLines/>
      <w:numPr>
        <w:ilvl w:val="0"/>
        <w:numId w:val="0"/>
      </w:numPr>
      <w:spacing w:before="240" w:after="0"/>
      <w:outlineLvl w:val="0"/>
    </w:pPr>
    <w:rPr>
      <w:rFonts w:ascii="Cambria" w:hAnsi="Cambria" w:eastAsia="Times New Roman" w:cs="Times New Roman"/>
      <w:color w:val="365F91"/>
      <w:sz w:val="32"/>
      <w:szCs w:val="32"/>
    </w:rPr>
  </w:style>
  <w:style w:type="paragraph" w:styleId="Ttulo2">
    <w:name w:val="Heading 2"/>
    <w:basedOn w:val="Normal"/>
    <w:next w:val="Normal"/>
    <w:qFormat/>
    <w:pPr>
      <w:keepNext w:val="true"/>
      <w:numPr>
        <w:ilvl w:val="0"/>
        <w:numId w:val="0"/>
      </w:numPr>
      <w:tabs>
        <w:tab w:val="clear" w:pos="708"/>
        <w:tab w:val="left" w:pos="1701" w:leader="none"/>
      </w:tabs>
      <w:ind w:left="0" w:right="-1" w:hanging="0"/>
      <w:jc w:val="center"/>
      <w:outlineLvl w:val="1"/>
    </w:pPr>
    <w:rPr>
      <w:rFonts w:ascii="Times New Roman" w:hAnsi="Times New Roman" w:cs="Times New Roman"/>
      <w:b/>
      <w:color w:val="000000"/>
      <w:szCs w:val="20"/>
      <w:lang w:val="x-none" w:eastAsia="x-none"/>
    </w:rPr>
  </w:style>
  <w:style w:type="character" w:styleId="DefaultParagraphFont">
    <w:name w:val="Default Paragraph Font"/>
    <w:qFormat/>
    <w:rPr/>
  </w:style>
  <w:style w:type="character" w:styleId="TextodebaloChar">
    <w:name w:val="Texto de balão Char"/>
    <w:qFormat/>
    <w:rPr>
      <w:rFonts w:ascii="Tahoma" w:hAnsi="Tahoma" w:cs="Tahoma"/>
      <w:sz w:val="16"/>
      <w:szCs w:val="16"/>
    </w:rPr>
  </w:style>
  <w:style w:type="character" w:styleId="Ttulo2Char">
    <w:name w:val="Título 2 Char"/>
    <w:qFormat/>
    <w:rPr>
      <w:b/>
      <w:color w:val="000000"/>
      <w:sz w:val="24"/>
    </w:rPr>
  </w:style>
  <w:style w:type="character" w:styleId="Normalchar1">
    <w:name w:val="normal__char1"/>
    <w:qFormat/>
    <w:rPr>
      <w:rFonts w:ascii="Arial" w:hAnsi="Arial" w:cs="Arial"/>
      <w:strike w:val="false"/>
      <w:dstrike w:val="false"/>
      <w:sz w:val="24"/>
      <w:szCs w:val="24"/>
      <w:u w:val="none"/>
      <w:effect w:val="none"/>
    </w:rPr>
  </w:style>
  <w:style w:type="character" w:styleId="Applestylespan">
    <w:name w:val="apple-style-span"/>
    <w:basedOn w:val="DefaultParagraphFont"/>
    <w:qFormat/>
    <w:rPr/>
  </w:style>
  <w:style w:type="character" w:styleId="LinkdaInternet">
    <w:name w:val="Link da Internet"/>
    <w:rPr>
      <w:color w:val="000080"/>
      <w:u w:val="single"/>
    </w:rPr>
  </w:style>
  <w:style w:type="character" w:styleId="CitaoChar">
    <w:name w:val="Citação Char"/>
    <w:qFormat/>
    <w:rPr>
      <w:rFonts w:ascii="Ecofont_Spranq_eco_Sans" w:hAnsi="Ecofont_Spranq_eco_Sans" w:eastAsia="Calibri" w:cs="Tahoma"/>
      <w:i/>
      <w:iCs/>
      <w:color w:val="000000"/>
      <w:szCs w:val="24"/>
      <w:shd w:fill="FFFFCC" w:val="clear"/>
      <w:lang w:eastAsia="en-US"/>
    </w:rPr>
  </w:style>
  <w:style w:type="character" w:styleId="Citao2Char">
    <w:name w:val="citação 2 Char"/>
    <w:basedOn w:val="CitaoChar"/>
    <w:qFormat/>
    <w:rPr>
      <w:rFonts w:ascii="Ecofont_Spranq_eco_Sans" w:hAnsi="Ecofont_Spranq_eco_Sans" w:eastAsia="Calibri" w:cs="Tahoma"/>
      <w:i/>
      <w:iCs/>
      <w:color w:val="000000"/>
      <w:szCs w:val="24"/>
      <w:shd w:fill="FFFFCC" w:val="clear"/>
      <w:lang w:eastAsia="en-US"/>
    </w:rPr>
  </w:style>
  <w:style w:type="character" w:styleId="Annotationreference">
    <w:name w:val="annotation reference"/>
    <w:basedOn w:val="DefaultParagraphFont"/>
    <w:qFormat/>
    <w:rPr>
      <w:sz w:val="16"/>
      <w:szCs w:val="16"/>
    </w:rPr>
  </w:style>
  <w:style w:type="character" w:styleId="TextodecomentrioChar">
    <w:name w:val="Texto de comentário Char"/>
    <w:basedOn w:val="DefaultParagraphFont"/>
    <w:qFormat/>
    <w:rPr>
      <w:rFonts w:ascii="Ecofont_Spranq_eco_Sans" w:hAnsi="Ecofont_Spranq_eco_Sans" w:cs="Tahoma"/>
    </w:rPr>
  </w:style>
  <w:style w:type="character" w:styleId="AssuntodocomentrioChar">
    <w:name w:val="Assunto do comentário Char"/>
    <w:basedOn w:val="TextodecomentrioChar"/>
    <w:qFormat/>
    <w:rPr>
      <w:rFonts w:ascii="Ecofont_Spranq_eco_Sans" w:hAnsi="Ecofont_Spranq_eco_Sans" w:cs="Tahoma"/>
      <w:b/>
      <w:bCs/>
    </w:rPr>
  </w:style>
  <w:style w:type="character" w:styleId="PlaceholderText">
    <w:name w:val="Placeholder Text"/>
    <w:basedOn w:val="DefaultParagraphFont"/>
    <w:qFormat/>
    <w:rPr>
      <w:color w:val="808080"/>
    </w:rPr>
  </w:style>
  <w:style w:type="character" w:styleId="CabealhoChar">
    <w:name w:val="Cabeçalho Char"/>
    <w:basedOn w:val="DefaultParagraphFont"/>
    <w:qFormat/>
    <w:rPr>
      <w:rFonts w:ascii="Ecofont_Spranq_eco_Sans" w:hAnsi="Ecofont_Spranq_eco_Sans" w:cs="Tahoma"/>
      <w:sz w:val="24"/>
      <w:szCs w:val="24"/>
    </w:rPr>
  </w:style>
  <w:style w:type="character" w:styleId="RodapChar">
    <w:name w:val="Rodapé Char"/>
    <w:basedOn w:val="DefaultParagraphFont"/>
    <w:qFormat/>
    <w:rPr>
      <w:rFonts w:ascii="Ecofont_Spranq_eco_Sans" w:hAnsi="Ecofont_Spranq_eco_Sans" w:cs="Tahoma"/>
      <w:sz w:val="24"/>
      <w:szCs w:val="24"/>
    </w:rPr>
  </w:style>
  <w:style w:type="character" w:styleId="Ttulo1Char">
    <w:name w:val="Título 1 Char"/>
    <w:basedOn w:val="DefaultParagraphFont"/>
    <w:qFormat/>
    <w:rPr>
      <w:rFonts w:ascii="Cambria" w:hAnsi="Cambria" w:eastAsia="Times New Roman" w:cs="Times New Roman"/>
      <w:color w:val="365F91"/>
      <w:sz w:val="32"/>
      <w:szCs w:val="32"/>
    </w:rPr>
  </w:style>
  <w:style w:type="character" w:styleId="Nivel1Char">
    <w:name w:val="Nivel1 Char"/>
    <w:basedOn w:val="Ttulo1Char"/>
    <w:qFormat/>
    <w:rPr>
      <w:rFonts w:ascii="Arial" w:hAnsi="Arial" w:eastAsia="Times New Roman" w:cs="Times New Roman"/>
      <w:b/>
      <w:color w:val="000000"/>
      <w:sz w:val="32"/>
      <w:szCs w:val="32"/>
    </w:rPr>
  </w:style>
  <w:style w:type="character" w:styleId="QuoteChar">
    <w:name w:val="Quote Char"/>
    <w:qFormat/>
    <w:rPr>
      <w:rFonts w:ascii="Ecofont_Spranq_eco_Sans" w:hAnsi="Ecofont_Spranq_eco_Sans" w:cs="Ecofont_Spranq_eco_Sans"/>
      <w:i/>
      <w:iCs/>
      <w:color w:val="000000"/>
      <w:sz w:val="24"/>
      <w:szCs w:val="24"/>
      <w:shd w:fill="FFFFCC" w:val="clear"/>
      <w:lang w:eastAsia="en-US"/>
    </w:rPr>
  </w:style>
  <w:style w:type="character" w:styleId="Appleconvertedspace">
    <w:name w:val="apple-converted-space"/>
    <w:basedOn w:val="DefaultParagraphFont"/>
    <w:qFormat/>
    <w:rPr/>
  </w:style>
  <w:style w:type="character" w:styleId="Nivel01Char">
    <w:name w:val="Nivel 01 Char"/>
    <w:basedOn w:val="DefaultParagraphFont"/>
    <w:qFormat/>
    <w:rPr>
      <w:rFonts w:ascii="Arial" w:hAnsi="Arial" w:eastAsia="Times New Roman" w:cs="Times New Roman"/>
      <w:b/>
      <w:bCs/>
      <w:color w:val="000000"/>
      <w:sz w:val="32"/>
      <w:szCs w:val="32"/>
    </w:rPr>
  </w:style>
  <w:style w:type="character" w:styleId="Strong">
    <w:name w:val="Strong"/>
    <w:basedOn w:val="DefaultParagraphFont"/>
    <w:qFormat/>
    <w:rPr>
      <w:b/>
      <w:bCs/>
    </w:rPr>
  </w:style>
  <w:style w:type="character" w:styleId="GradeColoridanfase1Char">
    <w:name w:val="Grade Colorida - Ênfase 1 Char"/>
    <w:qFormat/>
    <w:rPr>
      <w:rFonts w:ascii="Ecofont_Spranq_eco_Sans" w:hAnsi="Ecofont_Spranq_eco_Sans" w:eastAsia="Calibri" w:cs="Ecofont_Spranq_eco_Sans"/>
      <w:i/>
      <w:iCs/>
      <w:color w:val="000000"/>
      <w:szCs w:val="24"/>
      <w:shd w:fill="FFFFCC" w:val="clear"/>
      <w:lang w:val="x-none"/>
    </w:rPr>
  </w:style>
  <w:style w:type="character" w:styleId="WW8Num2z1">
    <w:name w:val="WW8Num2z1"/>
    <w:qFormat/>
    <w:rPr>
      <w:i w:val="false"/>
    </w:rPr>
  </w:style>
  <w:style w:type="character" w:styleId="Nfase">
    <w:name w:val="Ênfase"/>
    <w:basedOn w:val="DefaultParagraphFont"/>
    <w:qFormat/>
    <w:rPr>
      <w:i/>
      <w:iCs/>
    </w:rPr>
  </w:style>
  <w:style w:type="character" w:styleId="Nivel2Char">
    <w:name w:val="Nivel 2 Char"/>
    <w:basedOn w:val="DefaultParagraphFont"/>
    <w:qFormat/>
    <w:rPr>
      <w:rFonts w:ascii="Ecofont_Spranq_eco_Sans" w:hAnsi="Ecofont_Spranq_eco_Sans" w:eastAsia="Arial Unicode MS"/>
    </w:rPr>
  </w:style>
  <w:style w:type="character" w:styleId="CorpodetextoChar">
    <w:name w:val="Corpo de texto Char"/>
    <w:qFormat/>
    <w:rPr>
      <w:sz w:val="24"/>
      <w:szCs w:val="24"/>
      <w:lang w:val="en-US" w:eastAsia="en-US"/>
    </w:rPr>
  </w:style>
  <w:style w:type="character" w:styleId="CorpodetextoChar1">
    <w:name w:val="Corpo de texto Char1"/>
    <w:basedOn w:val="DefaultParagraphFont"/>
    <w:qFormat/>
    <w:rPr>
      <w:rFonts w:ascii="Arial" w:hAnsi="Arial" w:cs="Tahoma"/>
      <w:szCs w:val="24"/>
    </w:rPr>
  </w:style>
  <w:style w:type="character" w:styleId="WW8Num1z0">
    <w:name w:val="WW8Num1z0"/>
    <w:qFormat/>
    <w:rPr/>
  </w:style>
  <w:style w:type="character" w:styleId="Fontepargpadro">
    <w:name w:val="Fonte parág. padrão"/>
    <w:qFormat/>
    <w:rPr/>
  </w:style>
  <w:style w:type="paragraph" w:styleId="Ttulo">
    <w:name w:val="Título"/>
    <w:basedOn w:val="Normal"/>
    <w:next w:val="Corpodotexto"/>
    <w:qFormat/>
    <w:pPr>
      <w:keepNext w:val="true"/>
      <w:spacing w:before="240" w:after="120"/>
    </w:pPr>
    <w:rPr>
      <w:rFonts w:ascii="Liberation Sans" w:hAnsi="Liberation Sans" w:eastAsia="Microsoft YaHei" w:cs="Arial"/>
      <w:sz w:val="28"/>
      <w:szCs w:val="28"/>
    </w:rPr>
  </w:style>
  <w:style w:type="paragraph" w:styleId="Corpodotexto">
    <w:name w:val="Body Text"/>
    <w:basedOn w:val="Normal"/>
    <w:pPr>
      <w:widowControl w:val="false"/>
    </w:pPr>
    <w:rPr>
      <w:rFonts w:ascii="Times New Roman" w:hAnsi="Times New Roman" w:cs="Times New Roman"/>
      <w:sz w:val="24"/>
      <w:lang w:val="en-US" w:eastAsia="en-US"/>
    </w:rPr>
  </w:style>
  <w:style w:type="paragraph" w:styleId="Lista">
    <w:name w:val="List"/>
    <w:basedOn w:val="Corpodotexto"/>
    <w:pPr/>
    <w:rPr>
      <w:rFonts w:cs="Arial"/>
    </w:rPr>
  </w:style>
  <w:style w:type="paragraph" w:styleId="Legenda">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lang w:val="zxx" w:eastAsia="zxx" w:bidi="zxx"/>
    </w:rPr>
  </w:style>
  <w:style w:type="paragraph" w:styleId="ListParagraph">
    <w:name w:val="List Paragraph"/>
    <w:basedOn w:val="Normal"/>
    <w:qFormat/>
    <w:pPr>
      <w:spacing w:before="0" w:after="0"/>
      <w:ind w:left="720" w:right="0" w:hanging="0"/>
      <w:contextualSpacing/>
    </w:pPr>
    <w:rPr/>
  </w:style>
  <w:style w:type="paragraph" w:styleId="NormalWeb">
    <w:name w:val="Normal (Web)"/>
    <w:basedOn w:val="Normal"/>
    <w:qFormat/>
    <w:pPr>
      <w:spacing w:before="280" w:after="280"/>
    </w:pPr>
    <w:rPr>
      <w:rFonts w:ascii="Times New Roman" w:hAnsi="Times New Roman" w:cs="Times New Roman"/>
    </w:rPr>
  </w:style>
  <w:style w:type="paragraph" w:styleId="BalloonText">
    <w:name w:val="Balloon Text"/>
    <w:basedOn w:val="Normal"/>
    <w:qFormat/>
    <w:pPr/>
    <w:rPr>
      <w:rFonts w:ascii="Tahoma" w:hAnsi="Tahoma" w:cs="Times New Roman"/>
      <w:sz w:val="16"/>
      <w:szCs w:val="16"/>
      <w:lang w:val="x-none" w:eastAsia="x-none"/>
    </w:rPr>
  </w:style>
  <w:style w:type="paragraph" w:styleId="Nvel2">
    <w:name w:val="Nível 2"/>
    <w:basedOn w:val="Normal"/>
    <w:next w:val="Normal"/>
    <w:qFormat/>
    <w:pPr>
      <w:spacing w:before="0" w:after="120"/>
      <w:jc w:val="both"/>
    </w:pPr>
    <w:rPr>
      <w:rFonts w:cs="Times New Roman"/>
      <w:b/>
      <w:szCs w:val="20"/>
    </w:rPr>
  </w:style>
  <w:style w:type="paragraph" w:styleId="Quote">
    <w:name w:val="Quote"/>
    <w:basedOn w:val="Normal"/>
    <w:next w:val="Normal"/>
    <w:qFormat/>
    <w:pPr>
      <w:pBdr>
        <w:top w:val="single" w:sz="4" w:space="1" w:color="1F497D"/>
        <w:left w:val="single" w:sz="4" w:space="4" w:color="1F497D"/>
        <w:bottom w:val="single" w:sz="4" w:space="1" w:color="1F497D"/>
        <w:right w:val="single" w:sz="4" w:space="4" w:color="1F497D"/>
      </w:pBdr>
      <w:shd w:fill="FFFFCC" w:val="clear"/>
      <w:spacing w:before="120" w:after="0"/>
      <w:jc w:val="both"/>
    </w:pPr>
    <w:rPr>
      <w:rFonts w:eastAsia="Calibri" w:cs="Times New Roman"/>
      <w:i/>
      <w:iCs/>
      <w:color w:val="000000"/>
      <w:lang w:val="x-none" w:eastAsia="en-US"/>
    </w:rPr>
  </w:style>
  <w:style w:type="paragraph" w:styleId="ListBullet5">
    <w:name w:val="List Bullet 5"/>
    <w:basedOn w:val="Normal"/>
    <w:qFormat/>
    <w:pPr>
      <w:numPr>
        <w:ilvl w:val="0"/>
        <w:numId w:val="3"/>
      </w:numPr>
      <w:spacing w:before="0" w:after="0"/>
      <w:contextualSpacing/>
    </w:pPr>
    <w:rPr/>
  </w:style>
  <w:style w:type="paragraph" w:styleId="Citao2">
    <w:name w:val="citação 2"/>
    <w:basedOn w:val="Quote"/>
    <w:qFormat/>
    <w:pPr/>
    <w:rPr>
      <w:szCs w:val="20"/>
    </w:rPr>
  </w:style>
  <w:style w:type="paragraph" w:styleId="Annotationtext">
    <w:name w:val="annotation text"/>
    <w:basedOn w:val="Normal"/>
    <w:qFormat/>
    <w:pPr/>
    <w:rPr>
      <w:szCs w:val="20"/>
    </w:rPr>
  </w:style>
  <w:style w:type="paragraph" w:styleId="Annotationsubject">
    <w:name w:val="annotation subject"/>
    <w:basedOn w:val="Annotationtext"/>
    <w:next w:val="Annotationtext"/>
    <w:qFormat/>
    <w:pPr/>
    <w:rPr>
      <w:b/>
      <w:bCs/>
    </w:rPr>
  </w:style>
  <w:style w:type="paragraph" w:styleId="CabealhoeRodap">
    <w:name w:val="Cabeçalho e Rodapé"/>
    <w:basedOn w:val="Normal"/>
    <w:qFormat/>
    <w:pPr/>
    <w:rPr/>
  </w:style>
  <w:style w:type="paragraph" w:styleId="Cabealho">
    <w:name w:val="Header"/>
    <w:basedOn w:val="Normal"/>
    <w:pPr>
      <w:tabs>
        <w:tab w:val="clear" w:pos="708"/>
        <w:tab w:val="center" w:pos="4252" w:leader="none"/>
        <w:tab w:val="right" w:pos="8504" w:leader="none"/>
      </w:tabs>
    </w:pPr>
    <w:rPr/>
  </w:style>
  <w:style w:type="paragraph" w:styleId="Rodap">
    <w:name w:val="Footer"/>
    <w:basedOn w:val="Normal"/>
    <w:pPr>
      <w:tabs>
        <w:tab w:val="clear" w:pos="708"/>
        <w:tab w:val="center" w:pos="4252" w:leader="none"/>
        <w:tab w:val="right" w:pos="8504" w:leader="none"/>
      </w:tabs>
    </w:pPr>
    <w:rPr/>
  </w:style>
  <w:style w:type="paragraph" w:styleId="Nivel1">
    <w:name w:val="Nivel1"/>
    <w:basedOn w:val="Ttulo1"/>
    <w:qFormat/>
    <w:pPr>
      <w:spacing w:lineRule="auto" w:line="276" w:before="480" w:after="0"/>
      <w:jc w:val="both"/>
      <w:outlineLvl w:val="9"/>
    </w:pPr>
    <w:rPr>
      <w:rFonts w:ascii="Arial" w:hAnsi="Arial" w:cs="Times New Roman"/>
      <w:b/>
      <w:color w:val="000000"/>
      <w:sz w:val="20"/>
      <w:szCs w:val="20"/>
    </w:rPr>
  </w:style>
  <w:style w:type="paragraph" w:styleId="Revision">
    <w:name w:val="Revision"/>
    <w:qFormat/>
    <w:pPr>
      <w:widowControl/>
      <w:suppressAutoHyphens w:val="true"/>
      <w:kinsoku w:val="true"/>
      <w:overflowPunct w:val="true"/>
      <w:autoSpaceDE w:val="true"/>
      <w:bidi w:val="0"/>
      <w:spacing w:before="0" w:after="0"/>
      <w:jc w:val="left"/>
    </w:pPr>
    <w:rPr>
      <w:rFonts w:ascii="Arial" w:hAnsi="Arial" w:eastAsia="Times New Roman" w:cs="Tahoma"/>
      <w:color w:val="auto"/>
      <w:kern w:val="0"/>
      <w:sz w:val="20"/>
      <w:szCs w:val="24"/>
      <w:lang w:val="pt-BR" w:eastAsia="pt-BR" w:bidi="ar-SA"/>
    </w:rPr>
  </w:style>
  <w:style w:type="paragraph" w:styleId="PargrafodaLista1">
    <w:name w:val="Parágrafo da Lista1"/>
    <w:basedOn w:val="Normal"/>
    <w:qFormat/>
    <w:pPr>
      <w:ind w:left="720" w:right="0" w:hanging="0"/>
    </w:pPr>
    <w:rPr>
      <w:rFonts w:ascii="Ecofont_Spranq_eco_Sans" w:hAnsi="Ecofont_Spranq_eco_Sans" w:cs="Ecofont_Spranq_eco_Sans"/>
      <w:sz w:val="24"/>
    </w:rPr>
  </w:style>
  <w:style w:type="paragraph" w:styleId="Citao1">
    <w:name w:val="Citação1"/>
    <w:basedOn w:val="Normal"/>
    <w:next w:val="Normal"/>
    <w:qFormat/>
    <w:pPr>
      <w:pBdr>
        <w:top w:val="single" w:sz="4" w:space="1" w:color="1F497D"/>
        <w:left w:val="single" w:sz="4" w:space="4" w:color="1F497D"/>
        <w:bottom w:val="single" w:sz="4" w:space="1" w:color="1F497D"/>
        <w:right w:val="single" w:sz="4" w:space="4" w:color="1F497D"/>
      </w:pBdr>
      <w:shd w:fill="FFFFCC" w:val="clear"/>
      <w:spacing w:before="120" w:after="0"/>
      <w:jc w:val="both"/>
    </w:pPr>
    <w:rPr>
      <w:rFonts w:ascii="Ecofont_Spranq_eco_Sans" w:hAnsi="Ecofont_Spranq_eco_Sans" w:cs="Ecofont_Spranq_eco_Sans"/>
      <w:i/>
      <w:iCs/>
      <w:color w:val="000000"/>
      <w:sz w:val="24"/>
      <w:shd w:fill="FFFFCC" w:val="clear"/>
      <w:lang w:eastAsia="en-US"/>
    </w:rPr>
  </w:style>
  <w:style w:type="paragraph" w:styleId="SombreamentoMdio1nfase31">
    <w:name w:val="Sombreamento Médio 1 - Ênfase 31"/>
    <w:basedOn w:val="Normal"/>
    <w:next w:val="Normal"/>
    <w:qFormat/>
    <w:pPr>
      <w:pBdr>
        <w:top w:val="single" w:sz="4" w:space="1" w:color="000080"/>
        <w:left w:val="single" w:sz="4" w:space="4" w:color="000080"/>
        <w:bottom w:val="single" w:sz="4" w:space="1" w:color="000080"/>
        <w:right w:val="single" w:sz="4" w:space="4" w:color="000080"/>
      </w:pBdr>
      <w:shd w:fill="FFFFCC" w:val="clear"/>
      <w:suppressAutoHyphens w:val="true"/>
      <w:spacing w:before="120" w:after="0"/>
      <w:jc w:val="both"/>
    </w:pPr>
    <w:rPr>
      <w:rFonts w:ascii="Ecofont_Spranq_eco_Sans" w:hAnsi="Ecofont_Spranq_eco_Sans" w:eastAsia="Calibri"/>
      <w:i/>
      <w:iCs/>
      <w:color w:val="000000"/>
      <w:lang w:eastAsia="zh-CN"/>
    </w:rPr>
  </w:style>
  <w:style w:type="paragraph" w:styleId="Nivel01">
    <w:name w:val="Nivel 01"/>
    <w:basedOn w:val="Ttulo1"/>
    <w:next w:val="Normal"/>
    <w:qFormat/>
    <w:pPr>
      <w:spacing w:lineRule="auto" w:line="276" w:before="480" w:after="120"/>
      <w:ind w:left="360" w:right="-15" w:hanging="360"/>
      <w:jc w:val="both"/>
      <w:outlineLvl w:val="9"/>
    </w:pPr>
    <w:rPr>
      <w:rFonts w:ascii="Arial" w:hAnsi="Arial"/>
      <w:b/>
      <w:bCs/>
      <w:color w:val="000000"/>
    </w:rPr>
  </w:style>
  <w:style w:type="paragraph" w:styleId="Textojustificado">
    <w:name w:val="texto_justificado"/>
    <w:basedOn w:val="Normal"/>
    <w:qFormat/>
    <w:pPr>
      <w:spacing w:before="280" w:after="280"/>
    </w:pPr>
    <w:rPr>
      <w:rFonts w:ascii="Times New Roman" w:hAnsi="Times New Roman" w:cs="Times New Roman"/>
      <w:sz w:val="24"/>
    </w:rPr>
  </w:style>
  <w:style w:type="paragraph" w:styleId="Nivel011">
    <w:name w:val="Nivel_01"/>
    <w:basedOn w:val="Ttulo1"/>
    <w:qFormat/>
    <w:pPr>
      <w:tabs>
        <w:tab w:val="clear" w:pos="708"/>
        <w:tab w:val="left" w:pos="360" w:leader="none"/>
        <w:tab w:val="left" w:pos="567" w:leader="none"/>
      </w:tabs>
      <w:jc w:val="both"/>
      <w:outlineLvl w:val="9"/>
    </w:pPr>
    <w:rPr>
      <w:rFonts w:ascii="Ecofont_Spranq_eco_Sans" w:hAnsi="Ecofont_Spranq_eco_Sans" w:cs="Times New Roman"/>
      <w:b/>
      <w:bCs/>
      <w:color w:val="auto"/>
      <w:sz w:val="20"/>
      <w:szCs w:val="20"/>
    </w:rPr>
  </w:style>
  <w:style w:type="paragraph" w:styleId="GradeColoridanfase11">
    <w:name w:val="Grade Colorida - Ênfase 11"/>
    <w:basedOn w:val="Normal"/>
    <w:next w:val="Normal"/>
    <w:qFormat/>
    <w:pPr>
      <w:pBdr>
        <w:top w:val="single" w:sz="4" w:space="1" w:color="1F497D"/>
        <w:left w:val="single" w:sz="4" w:space="4" w:color="1F497D"/>
        <w:bottom w:val="single" w:sz="4" w:space="1" w:color="1F497D"/>
        <w:right w:val="single" w:sz="4" w:space="4" w:color="1F497D"/>
      </w:pBdr>
      <w:shd w:fill="FFFFCC" w:val="clear"/>
      <w:spacing w:before="120" w:after="0"/>
      <w:jc w:val="both"/>
    </w:pPr>
    <w:rPr>
      <w:rFonts w:ascii="Ecofont_Spranq_eco_Sans" w:hAnsi="Ecofont_Spranq_eco_Sans" w:eastAsia="Calibri" w:cs="Ecofont_Spranq_eco_Sans"/>
      <w:i/>
      <w:iCs/>
      <w:color w:val="000000"/>
      <w:lang w:val="x-none"/>
    </w:rPr>
  </w:style>
  <w:style w:type="paragraph" w:styleId="PargrafodaLista2">
    <w:name w:val="Parágrafo da Lista2"/>
    <w:basedOn w:val="Normal"/>
    <w:qFormat/>
    <w:pPr>
      <w:ind w:left="720" w:right="0" w:hanging="0"/>
    </w:pPr>
    <w:rPr>
      <w:rFonts w:ascii="Ecofont_Spranq_eco_Sans" w:hAnsi="Ecofont_Spranq_eco_Sans"/>
      <w:sz w:val="24"/>
    </w:rPr>
  </w:style>
  <w:style w:type="paragraph" w:styleId="GradeColoridanfase110">
    <w:name w:val="Grade Colorida - Ênfase 110"/>
    <w:basedOn w:val="Normal"/>
    <w:next w:val="Normal"/>
    <w:qFormat/>
    <w:pPr>
      <w:pBdr>
        <w:top w:val="single" w:sz="4" w:space="1" w:color="1F497D"/>
        <w:left w:val="single" w:sz="4" w:space="4" w:color="1F497D"/>
        <w:bottom w:val="single" w:sz="4" w:space="1" w:color="1F497D"/>
        <w:right w:val="single" w:sz="4" w:space="4" w:color="1F497D"/>
      </w:pBdr>
      <w:shd w:fill="FFFFCC" w:val="clear"/>
      <w:spacing w:before="120" w:after="0"/>
      <w:jc w:val="both"/>
    </w:pPr>
    <w:rPr>
      <w:rFonts w:ascii="Ecofont_Spranq_eco_Sans" w:hAnsi="Ecofont_Spranq_eco_Sans"/>
      <w:i/>
      <w:color w:val="000000"/>
      <w:sz w:val="24"/>
      <w:lang w:eastAsia="en-US"/>
    </w:rPr>
  </w:style>
  <w:style w:type="paragraph" w:styleId="Nivel2">
    <w:name w:val="Nivel 2"/>
    <w:qFormat/>
    <w:pPr>
      <w:widowControl/>
      <w:numPr>
        <w:ilvl w:val="0"/>
        <w:numId w:val="4"/>
      </w:numPr>
      <w:suppressAutoHyphens w:val="true"/>
      <w:kinsoku w:val="true"/>
      <w:overflowPunct w:val="true"/>
      <w:autoSpaceDE w:val="true"/>
      <w:bidi w:val="0"/>
      <w:spacing w:lineRule="auto" w:line="276" w:before="120" w:after="120"/>
      <w:jc w:val="both"/>
    </w:pPr>
    <w:rPr>
      <w:rFonts w:ascii="Ecofont_Spranq_eco_Sans" w:hAnsi="Ecofont_Spranq_eco_Sans" w:eastAsia="Arial Unicode MS" w:cs="Times New Roman"/>
      <w:color w:val="auto"/>
      <w:kern w:val="0"/>
      <w:sz w:val="20"/>
      <w:szCs w:val="20"/>
      <w:lang w:val="pt-BR" w:eastAsia="pt-BR" w:bidi="ar-SA"/>
    </w:rPr>
  </w:style>
  <w:style w:type="paragraph" w:styleId="Nivel11">
    <w:name w:val="Nivel 1"/>
    <w:basedOn w:val="Nivel2"/>
    <w:next w:val="Nivel2"/>
    <w:qFormat/>
    <w:pPr>
      <w:tabs>
        <w:tab w:val="clear" w:pos="708"/>
        <w:tab w:val="left" w:pos="360" w:leader="none"/>
      </w:tabs>
      <w:ind w:left="644" w:right="0" w:hanging="432"/>
    </w:pPr>
    <w:rPr>
      <w:rFonts w:cs="Arial"/>
      <w:b/>
    </w:rPr>
  </w:style>
  <w:style w:type="paragraph" w:styleId="Nivel3">
    <w:name w:val="Nivel 3"/>
    <w:basedOn w:val="Nivel2"/>
    <w:qFormat/>
    <w:pPr>
      <w:tabs>
        <w:tab w:val="clear" w:pos="708"/>
        <w:tab w:val="left" w:pos="360" w:leader="none"/>
      </w:tabs>
      <w:ind w:left="1922" w:right="0" w:hanging="0"/>
    </w:pPr>
    <w:rPr>
      <w:rFonts w:cs="Arial"/>
      <w:color w:val="000000"/>
    </w:rPr>
  </w:style>
  <w:style w:type="paragraph" w:styleId="Nivel4">
    <w:name w:val="Nivel 4"/>
    <w:basedOn w:val="Nivel3"/>
    <w:qFormat/>
    <w:pPr>
      <w:ind w:left="2491" w:right="0" w:hanging="0"/>
    </w:pPr>
    <w:rPr>
      <w:color w:val="auto"/>
    </w:rPr>
  </w:style>
  <w:style w:type="paragraph" w:styleId="Nivel5">
    <w:name w:val="Nivel 5"/>
    <w:basedOn w:val="Nivel4"/>
    <w:qFormat/>
    <w:pPr>
      <w:ind w:left="3485" w:right="0" w:hanging="0"/>
    </w:pPr>
    <w:rPr/>
  </w:style>
  <w:style w:type="paragraph" w:styleId="Padro">
    <w:name w:val="Padrão"/>
    <w:qFormat/>
    <w:pPr>
      <w:widowControl w:val="false"/>
      <w:tabs>
        <w:tab w:val="clear" w:pos="708"/>
        <w:tab w:val="left" w:pos="367" w:leader="none"/>
      </w:tabs>
      <w:suppressAutoHyphens w:val="true"/>
      <w:kinsoku w:val="true"/>
      <w:overflowPunct w:val="true"/>
      <w:autoSpaceDE w:val="true"/>
      <w:bidi w:val="0"/>
      <w:spacing w:lineRule="atLeast" w:line="100" w:before="0" w:after="200"/>
      <w:jc w:val="left"/>
    </w:pPr>
    <w:rPr>
      <w:rFonts w:ascii="Liberation Serif" w:hAnsi="Liberation Serif" w:eastAsia="SimSun" w:cs="Mangal"/>
      <w:color w:val="00000A"/>
      <w:kern w:val="0"/>
      <w:sz w:val="24"/>
      <w:szCs w:val="24"/>
      <w:lang w:val="pt-BR" w:eastAsia="zh-CN" w:bidi="hi-IN"/>
    </w:rPr>
  </w:style>
  <w:style w:type="paragraph" w:styleId="Contedodatabela">
    <w:name w:val="Conteúdo da tabela"/>
    <w:basedOn w:val="Normal"/>
    <w:qFormat/>
    <w:pPr>
      <w:widowControl w:val="false"/>
      <w:suppressLineNumbers/>
    </w:pPr>
    <w:rPr/>
  </w:style>
  <w:style w:type="paragraph" w:styleId="Ttulodetabela">
    <w:name w:val="Título de tabela"/>
    <w:basedOn w:val="Contedodatabela"/>
    <w:qFormat/>
    <w:pPr>
      <w:suppressLineNumbers/>
      <w:jc w:val="center"/>
    </w:pPr>
    <w:rPr>
      <w:b/>
      <w:bCs/>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image" Target="media/image2.png"/><Relationship Id="rId4" Type="http://schemas.openxmlformats.org/officeDocument/2006/relationships/footer" Target="footer1.xml"/><Relationship Id="rId5" Type="http://schemas.openxmlformats.org/officeDocument/2006/relationships/footer" Target="footer2.xml"/><Relationship Id="rId6" Type="http://schemas.openxmlformats.org/officeDocument/2006/relationships/numbering" Target="numbering.xml"/><Relationship Id="rId7" Type="http://schemas.openxmlformats.org/officeDocument/2006/relationships/fontTable" Target="fontTable.xml"/><Relationship Id="rId8"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modelo de modelo de minuta.dotx</Template>
  <TotalTime>1594</TotalTime>
  <Application>LibreOffice/7.2.5.2$Windows_X86_64 LibreOffice_project/499f9727c189e6ef3471021d6132d4c694f357e5</Application>
  <AppVersion>15.0000</AppVersion>
  <Pages>28</Pages>
  <Words>10955</Words>
  <Characters>61196</Characters>
  <CharactersWithSpaces>71820</CharactersWithSpaces>
  <Paragraphs>417</Paragraphs>
  <Company>EDUARDO DOTTI</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2020-05-22T21:00:00Z</dcterms:created>
  <dc:creator>Adriano</dc:creator>
  <dc:description/>
  <dc:language>pt-BR</dc:language>
  <cp:lastModifiedBy/>
  <cp:lastPrinted>2022-05-31T19:48:00Z</cp:lastPrinted>
  <dcterms:modified xsi:type="dcterms:W3CDTF">2023-10-09T14:39:28Z</dcterms:modified>
  <cp:revision>137</cp:revision>
  <dc:subject/>
  <dc:title>NOTAS EXPLICATIVAS</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0x01010012A2765E7DFD38469B2E626874CD0041</vt:lpwstr>
  </property>
</Properties>
</file>